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</w:rPr>
        <w:id w:val="4632376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theme="minorBidi"/>
        </w:rPr>
      </w:sdtEndPr>
      <w:sdtContent>
        <w:tbl>
          <w:tblPr>
            <w:tblpPr w:leftFromText="187" w:rightFromText="187" w:vertAnchor="page" w:horzAnchor="margin" w:tblpXSpec="center" w:tblpY="5485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2"/>
          </w:tblGrid>
          <w:tr w:rsidR="00B91D0A" w:rsidTr="00B91D0A">
            <w:sdt>
              <w:sdtPr>
                <w:rPr>
                  <w:rFonts w:asciiTheme="majorHAnsi" w:eastAsiaTheme="majorEastAsia" w:hAnsiTheme="majorHAnsi" w:cstheme="majorBidi"/>
                </w:rPr>
                <w:alias w:val="Společnost"/>
                <w:id w:val="13406915"/>
                <w:placeholder>
                  <w:docPart w:val="C57C56D9343A4AC683FC63AC3CE88BD1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44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91D0A" w:rsidRDefault="00B91D0A" w:rsidP="00B91D0A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PRACOVNÍ NÁVRH</w:t>
                    </w:r>
                  </w:p>
                </w:tc>
              </w:sdtContent>
            </w:sdt>
          </w:tr>
          <w:tr w:rsidR="00B91D0A" w:rsidTr="00B91D0A">
            <w:tc>
              <w:tcPr>
                <w:tcW w:w="7442" w:type="dxa"/>
              </w:tcPr>
              <w:sdt>
                <w:sdtPr>
                  <w:rPr>
                    <w:rFonts w:asciiTheme="majorHAnsi" w:eastAsiaTheme="majorEastAsia" w:hAnsiTheme="majorHAnsi" w:cstheme="majorBidi"/>
                    <w:b/>
                    <w:color w:val="4F81BD" w:themeColor="accent1"/>
                    <w:sz w:val="80"/>
                    <w:szCs w:val="80"/>
                  </w:rPr>
                  <w:alias w:val="Název"/>
                  <w:id w:val="13406919"/>
                  <w:placeholder>
                    <w:docPart w:val="BE2B287C90E04030B7968A387DD341C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91D0A" w:rsidRPr="002217E2" w:rsidRDefault="00B91D0A" w:rsidP="00B91D0A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b/>
                        <w:color w:val="4F81BD" w:themeColor="accent1"/>
                        <w:sz w:val="80"/>
                        <w:szCs w:val="80"/>
                      </w:rPr>
                    </w:pPr>
                    <w:r w:rsidRPr="002217E2">
                      <w:rPr>
                        <w:rFonts w:asciiTheme="majorHAnsi" w:eastAsiaTheme="majorEastAsia" w:hAnsiTheme="majorHAnsi" w:cstheme="majorBidi"/>
                        <w:b/>
                        <w:color w:val="4F81BD" w:themeColor="accent1"/>
                        <w:sz w:val="80"/>
                        <w:szCs w:val="80"/>
                      </w:rPr>
                      <w:t>GeoInfoStrategie</w:t>
                    </w:r>
                  </w:p>
                </w:sdtContent>
              </w:sdt>
            </w:tc>
          </w:tr>
          <w:tr w:rsidR="00B91D0A" w:rsidTr="00B91D0A">
            <w:tc>
              <w:tcPr>
                <w:tcW w:w="744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B91D0A" w:rsidRDefault="00B91D0A" w:rsidP="00B91D0A">
                <w:pPr>
                  <w:pStyle w:val="Bezmezer"/>
                  <w:jc w:val="center"/>
                  <w:rPr>
                    <w:rFonts w:asciiTheme="majorHAnsi" w:eastAsiaTheme="majorEastAsia" w:hAnsiTheme="majorHAnsi" w:cstheme="majorBidi"/>
                  </w:rPr>
                </w:pPr>
                <w:r w:rsidRPr="000B054D">
                  <w:rPr>
                    <w:rFonts w:ascii="Cambria" w:hAnsi="Cambria"/>
                    <w:b/>
                    <w:sz w:val="32"/>
                    <w:szCs w:val="32"/>
                  </w:rPr>
                  <w:t xml:space="preserve">Strategie rozvoje infrastruktury </w:t>
                </w:r>
                <w:r>
                  <w:rPr>
                    <w:rFonts w:ascii="Cambria" w:hAnsi="Cambria"/>
                    <w:b/>
                    <w:sz w:val="32"/>
                    <w:szCs w:val="32"/>
                  </w:rPr>
                  <w:br/>
                </w:r>
                <w:r w:rsidRPr="000B054D">
                  <w:rPr>
                    <w:rFonts w:ascii="Cambria" w:hAnsi="Cambria"/>
                    <w:b/>
                    <w:sz w:val="32"/>
                    <w:szCs w:val="32"/>
                  </w:rPr>
                  <w:t xml:space="preserve">pro prostorové informace v České republice </w:t>
                </w:r>
                <w:r>
                  <w:rPr>
                    <w:rFonts w:ascii="Cambria" w:hAnsi="Cambria"/>
                    <w:b/>
                    <w:sz w:val="32"/>
                    <w:szCs w:val="32"/>
                  </w:rPr>
                  <w:br/>
                </w:r>
                <w:r w:rsidRPr="000B054D">
                  <w:rPr>
                    <w:rFonts w:ascii="Cambria" w:hAnsi="Cambria"/>
                    <w:b/>
                    <w:sz w:val="32"/>
                    <w:szCs w:val="32"/>
                  </w:rPr>
                  <w:t>do roku 2020</w:t>
                </w:r>
              </w:p>
            </w:tc>
          </w:tr>
        </w:tbl>
        <w:p w:rsidR="00B91D0A" w:rsidRDefault="00B91D0A" w:rsidP="00B91D0A">
          <w:pPr>
            <w:pStyle w:val="Zhlav"/>
          </w:pPr>
        </w:p>
        <w:p w:rsidR="00B91D0A" w:rsidRDefault="00B91D0A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p w:rsidR="002217E2" w:rsidRDefault="002217E2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2"/>
          </w:tblGrid>
          <w:tr w:rsidR="00B91D0A" w:rsidTr="00B91D0A">
            <w:tc>
              <w:tcPr>
                <w:tcW w:w="744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2217E2" w:rsidRDefault="002217E2" w:rsidP="002217E2">
                <w:pPr>
                  <w:pStyle w:val="Bezmezer"/>
                </w:pPr>
              </w:p>
              <w:p w:rsidR="002217E2" w:rsidRDefault="002217E2" w:rsidP="002217E2">
                <w:pPr>
                  <w:pStyle w:val="Bezmezer"/>
                </w:pPr>
              </w:p>
              <w:p w:rsidR="002217E2" w:rsidRPr="003021E8" w:rsidRDefault="002217E2" w:rsidP="002217E2">
                <w:pPr>
                  <w:pStyle w:val="Bezmezer"/>
                </w:pPr>
                <w:r w:rsidRPr="003021E8">
                  <w:t>Ministerstvo vnitra, Český úřad zeměměřický a katastrální, Ministerstvo obrany, Ministerstvo životního prostředí, Ministerstvo pro místní rozvoj, Ministerstvo dopravy</w:t>
                </w:r>
              </w:p>
              <w:p w:rsidR="00B91D0A" w:rsidRPr="002217E2" w:rsidRDefault="002217E2" w:rsidP="002217E2">
                <w:pPr>
                  <w:pStyle w:val="Bezmezer"/>
                  <w:spacing w:before="240"/>
                </w:pPr>
                <w:r w:rsidRPr="003021E8">
                  <w:t>Praha, 24. dubna 2014</w:t>
                </w:r>
              </w:p>
            </w:tc>
          </w:tr>
        </w:tbl>
        <w:p w:rsidR="00B91D0A" w:rsidRDefault="002217E2">
          <w:r>
            <w:rPr>
              <w:noProof/>
              <w:lang w:eastAsia="cs-CZ"/>
            </w:rPr>
            <w:t xml:space="preserve">                                        </w:t>
          </w:r>
        </w:p>
        <w:p w:rsidR="002217E2" w:rsidRDefault="002217E2">
          <w:pPr>
            <w:spacing w:before="0" w:after="200" w:line="276" w:lineRule="auto"/>
            <w:jc w:val="left"/>
          </w:pPr>
          <w:r>
            <w:t xml:space="preserve">                                                 </w:t>
          </w:r>
          <w:r w:rsidRPr="002217E2">
            <w:rPr>
              <w:noProof/>
              <w:lang w:eastAsia="cs-CZ"/>
            </w:rPr>
            <w:drawing>
              <wp:inline distT="0" distB="0" distL="0" distR="0">
                <wp:extent cx="2208530" cy="1483995"/>
                <wp:effectExtent l="19050" t="0" r="1270" b="0"/>
                <wp:docPr id="11" name="obrázek 15" descr="logo_Geo_In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logo_Geo_In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8530" cy="1483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217E2" w:rsidRDefault="002217E2">
          <w:pPr>
            <w:spacing w:before="0" w:after="200" w:line="276" w:lineRule="auto"/>
            <w:jc w:val="left"/>
          </w:pPr>
        </w:p>
        <w:p w:rsidR="002217E2" w:rsidRDefault="002217E2">
          <w:pPr>
            <w:spacing w:before="0" w:after="200" w:line="276" w:lineRule="auto"/>
            <w:jc w:val="left"/>
          </w:pPr>
        </w:p>
        <w:p w:rsidR="00B91D0A" w:rsidRDefault="002F6CE6">
          <w:pPr>
            <w:spacing w:before="0" w:after="200" w:line="276" w:lineRule="auto"/>
            <w:jc w:val="left"/>
            <w:rPr>
              <w:rFonts w:eastAsia="Times New Roman" w:cstheme="minorHAnsi"/>
              <w:b/>
              <w:bCs/>
              <w:sz w:val="48"/>
              <w:szCs w:val="28"/>
              <w:lang w:eastAsia="cs-CZ"/>
            </w:rPr>
          </w:pPr>
        </w:p>
      </w:sdtContent>
    </w:sdt>
    <w:p w:rsidR="00693B2F" w:rsidRDefault="00693B2F" w:rsidP="00693B2F">
      <w:pPr>
        <w:pStyle w:val="Nadpis1"/>
      </w:pPr>
      <w:r w:rsidRPr="00693B2F">
        <w:lastRenderedPageBreak/>
        <w:t>ÚVOD</w:t>
      </w:r>
    </w:p>
    <w:p w:rsidR="009C41EC" w:rsidRDefault="009C41EC" w:rsidP="009C41EC">
      <w:pPr>
        <w:rPr>
          <w:szCs w:val="24"/>
          <w:lang w:eastAsia="cs-CZ"/>
        </w:rPr>
      </w:pPr>
      <w:r w:rsidRPr="00EF6E94">
        <w:rPr>
          <w:szCs w:val="24"/>
          <w:lang w:eastAsia="cs-CZ"/>
        </w:rPr>
        <w:t>Posledních několik let v oblasti veřejné správy je možno charakterizovat jako období v</w:t>
      </w:r>
      <w:r w:rsidRPr="00EF6E94">
        <w:rPr>
          <w:szCs w:val="24"/>
          <w:lang w:eastAsia="cs-CZ"/>
        </w:rPr>
        <w:t>ý</w:t>
      </w:r>
      <w:r w:rsidRPr="00EF6E94">
        <w:rPr>
          <w:szCs w:val="24"/>
          <w:lang w:eastAsia="cs-CZ"/>
        </w:rPr>
        <w:t>znamných organizačních, procesních i technologických změn a dynamického nástupu ke zvyšování efektivnosti výkonu veřejné správy s širokou a zásadní podporou informačních a komunikačních technologií, v intencích základních vládou schválených strategických a ko</w:t>
      </w:r>
      <w:r w:rsidRPr="00EF6E94">
        <w:rPr>
          <w:szCs w:val="24"/>
          <w:lang w:eastAsia="cs-CZ"/>
        </w:rPr>
        <w:t>n</w:t>
      </w:r>
      <w:r w:rsidRPr="00EF6E94">
        <w:rPr>
          <w:szCs w:val="24"/>
          <w:lang w:eastAsia="cs-CZ"/>
        </w:rPr>
        <w:t>cepčních dokumentů</w:t>
      </w:r>
      <w:r>
        <w:rPr>
          <w:szCs w:val="24"/>
          <w:lang w:eastAsia="cs-CZ"/>
        </w:rPr>
        <w:t>.</w:t>
      </w:r>
      <w:r w:rsidRPr="00EF6E94">
        <w:rPr>
          <w:szCs w:val="24"/>
          <w:lang w:eastAsia="cs-CZ"/>
        </w:rPr>
        <w:t xml:space="preserve"> </w:t>
      </w:r>
      <w:r>
        <w:rPr>
          <w:szCs w:val="24"/>
          <w:lang w:eastAsia="cs-CZ"/>
        </w:rPr>
        <w:t xml:space="preserve">Prudký rozvoj informačních a komunikačních technologií umožnil a vyvolává i </w:t>
      </w:r>
      <w:r w:rsidRPr="009C41EC">
        <w:rPr>
          <w:szCs w:val="24"/>
          <w:lang w:eastAsia="cs-CZ"/>
        </w:rPr>
        <w:t>mnohem větší rozsah prací s informacemi o území a jejich využívání v životě celé společnosti. Tento vývoj klade zásadně nové požadavky na úpravu podmínek pro nakl</w:t>
      </w:r>
      <w:r w:rsidRPr="009C41EC">
        <w:rPr>
          <w:szCs w:val="24"/>
          <w:lang w:eastAsia="cs-CZ"/>
        </w:rPr>
        <w:t>á</w:t>
      </w:r>
      <w:r w:rsidRPr="009C41EC">
        <w:rPr>
          <w:szCs w:val="24"/>
          <w:lang w:eastAsia="cs-CZ"/>
        </w:rPr>
        <w:t>dání s prostorovými daty a prostorovými informacemi.</w:t>
      </w:r>
    </w:p>
    <w:p w:rsidR="007D52DB" w:rsidRDefault="007D52DB" w:rsidP="009C41EC">
      <w:pPr>
        <w:rPr>
          <w:b/>
          <w:szCs w:val="24"/>
          <w:lang w:eastAsia="cs-CZ"/>
        </w:rPr>
      </w:pPr>
      <w:r w:rsidRPr="007D52DB">
        <w:rPr>
          <w:szCs w:val="24"/>
          <w:lang w:eastAsia="cs-CZ"/>
        </w:rPr>
        <w:t>Pro zajištění</w:t>
      </w:r>
      <w:r>
        <w:rPr>
          <w:b/>
          <w:szCs w:val="24"/>
          <w:lang w:eastAsia="cs-CZ"/>
        </w:rPr>
        <w:t xml:space="preserve"> </w:t>
      </w:r>
      <w:r w:rsidRPr="006A25BE">
        <w:rPr>
          <w:szCs w:val="24"/>
          <w:lang w:eastAsia="cs-CZ"/>
        </w:rPr>
        <w:t>sdílení a efektivní</w:t>
      </w:r>
      <w:r w:rsidR="009E2D79">
        <w:rPr>
          <w:szCs w:val="24"/>
          <w:lang w:eastAsia="cs-CZ"/>
        </w:rPr>
        <w:t>ho</w:t>
      </w:r>
      <w:r w:rsidRPr="006A25BE">
        <w:rPr>
          <w:szCs w:val="24"/>
          <w:lang w:eastAsia="cs-CZ"/>
        </w:rPr>
        <w:t xml:space="preserve"> využívání prostorových </w:t>
      </w:r>
      <w:r>
        <w:rPr>
          <w:szCs w:val="24"/>
          <w:lang w:eastAsia="cs-CZ"/>
        </w:rPr>
        <w:t xml:space="preserve">dat a </w:t>
      </w:r>
      <w:r w:rsidRPr="006A25BE">
        <w:rPr>
          <w:szCs w:val="24"/>
          <w:lang w:eastAsia="cs-CZ"/>
        </w:rPr>
        <w:t>prostorových informací</w:t>
      </w:r>
      <w:r>
        <w:rPr>
          <w:szCs w:val="24"/>
          <w:lang w:eastAsia="cs-CZ"/>
        </w:rPr>
        <w:t xml:space="preserve"> je nezbytné vytvořit odpovídající soustavu </w:t>
      </w:r>
      <w:r w:rsidRPr="00002A0A">
        <w:rPr>
          <w:szCs w:val="24"/>
          <w:lang w:eastAsia="cs-CZ"/>
        </w:rPr>
        <w:t xml:space="preserve">zásad, </w:t>
      </w:r>
      <w:r>
        <w:rPr>
          <w:szCs w:val="24"/>
          <w:lang w:eastAsia="cs-CZ"/>
        </w:rPr>
        <w:t xml:space="preserve">znalostí, </w:t>
      </w:r>
      <w:r w:rsidRPr="00002A0A">
        <w:rPr>
          <w:szCs w:val="24"/>
          <w:lang w:eastAsia="cs-CZ"/>
        </w:rPr>
        <w:t>institucionálních opatření</w:t>
      </w:r>
      <w:r w:rsidRPr="006A25BE">
        <w:rPr>
          <w:szCs w:val="24"/>
          <w:lang w:eastAsia="cs-CZ"/>
        </w:rPr>
        <w:t>, technol</w:t>
      </w:r>
      <w:r w:rsidRPr="006A25BE">
        <w:rPr>
          <w:szCs w:val="24"/>
          <w:lang w:eastAsia="cs-CZ"/>
        </w:rPr>
        <w:t>o</w:t>
      </w:r>
      <w:r w:rsidRPr="006A25BE">
        <w:rPr>
          <w:szCs w:val="24"/>
          <w:lang w:eastAsia="cs-CZ"/>
        </w:rPr>
        <w:t>gií, dat a lid</w:t>
      </w:r>
      <w:r>
        <w:rPr>
          <w:szCs w:val="24"/>
          <w:lang w:eastAsia="cs-CZ"/>
        </w:rPr>
        <w:t xml:space="preserve">ských zdrojů, která se označuje jako </w:t>
      </w:r>
      <w:r w:rsidR="00ED00C6">
        <w:rPr>
          <w:b/>
          <w:szCs w:val="24"/>
          <w:lang w:eastAsia="cs-CZ"/>
        </w:rPr>
        <w:t>i</w:t>
      </w:r>
      <w:r w:rsidRPr="00160D67">
        <w:rPr>
          <w:b/>
          <w:szCs w:val="24"/>
          <w:lang w:eastAsia="cs-CZ"/>
        </w:rPr>
        <w:t>nfrastruktura pro prostorové informace</w:t>
      </w:r>
      <w:r>
        <w:rPr>
          <w:b/>
          <w:szCs w:val="24"/>
          <w:lang w:eastAsia="cs-CZ"/>
        </w:rPr>
        <w:t>.</w:t>
      </w:r>
    </w:p>
    <w:p w:rsidR="009C41EC" w:rsidRDefault="009C41EC" w:rsidP="009C41EC">
      <w:pPr>
        <w:rPr>
          <w:szCs w:val="24"/>
        </w:rPr>
      </w:pPr>
      <w:r w:rsidRPr="00160D67">
        <w:rPr>
          <w:szCs w:val="24"/>
        </w:rPr>
        <w:t xml:space="preserve">V řadě zemí je </w:t>
      </w:r>
      <w:r w:rsidRPr="00160D67">
        <w:rPr>
          <w:b/>
          <w:szCs w:val="24"/>
        </w:rPr>
        <w:t>národní infrastruktura pro prostorové informace</w:t>
      </w:r>
      <w:r w:rsidRPr="00160D67">
        <w:rPr>
          <w:szCs w:val="24"/>
        </w:rPr>
        <w:t xml:space="preserve"> </w:t>
      </w:r>
      <w:r>
        <w:rPr>
          <w:szCs w:val="24"/>
        </w:rPr>
        <w:t xml:space="preserve">(dále jen „NIPI“) </w:t>
      </w:r>
      <w:r w:rsidRPr="00160D67">
        <w:rPr>
          <w:szCs w:val="24"/>
        </w:rPr>
        <w:t>uprav</w:t>
      </w:r>
      <w:r w:rsidRPr="00160D67">
        <w:rPr>
          <w:szCs w:val="24"/>
        </w:rPr>
        <w:t>e</w:t>
      </w:r>
      <w:r w:rsidRPr="00160D67">
        <w:rPr>
          <w:szCs w:val="24"/>
        </w:rPr>
        <w:t>na a definována, v České republice ucelené, přehledné, systematické a formálně zakotvené stanovení národní infrastruktury pro prostorové informace</w:t>
      </w:r>
      <w:r>
        <w:rPr>
          <w:szCs w:val="24"/>
        </w:rPr>
        <w:t xml:space="preserve"> </w:t>
      </w:r>
      <w:r w:rsidRPr="00160D67">
        <w:rPr>
          <w:szCs w:val="24"/>
        </w:rPr>
        <w:t xml:space="preserve">doposud </w:t>
      </w:r>
      <w:r w:rsidRPr="005A6E67">
        <w:rPr>
          <w:szCs w:val="24"/>
        </w:rPr>
        <w:t>schází.</w:t>
      </w:r>
    </w:p>
    <w:p w:rsidR="009C41EC" w:rsidRDefault="009C41EC" w:rsidP="009C41EC">
      <w:pPr>
        <w:rPr>
          <w:szCs w:val="24"/>
          <w:lang w:eastAsia="cs-CZ"/>
        </w:rPr>
      </w:pPr>
      <w:r>
        <w:rPr>
          <w:szCs w:val="24"/>
        </w:rPr>
        <w:t xml:space="preserve">Veřejná správa využívá </w:t>
      </w:r>
      <w:r w:rsidRPr="00B14F91">
        <w:rPr>
          <w:szCs w:val="24"/>
        </w:rPr>
        <w:t>základní i t</w:t>
      </w:r>
      <w:r w:rsidRPr="00B14F91">
        <w:rPr>
          <w:szCs w:val="24"/>
          <w:lang w:eastAsia="cs-CZ"/>
        </w:rPr>
        <w:t>ematická</w:t>
      </w:r>
      <w:r>
        <w:rPr>
          <w:szCs w:val="24"/>
          <w:lang w:eastAsia="cs-CZ"/>
        </w:rPr>
        <w:t xml:space="preserve"> </w:t>
      </w:r>
      <w:r w:rsidRPr="0045423F">
        <w:rPr>
          <w:szCs w:val="24"/>
          <w:lang w:eastAsia="cs-CZ"/>
        </w:rPr>
        <w:t>prostorov</w:t>
      </w:r>
      <w:r>
        <w:rPr>
          <w:szCs w:val="24"/>
          <w:lang w:eastAsia="cs-CZ"/>
        </w:rPr>
        <w:t>á</w:t>
      </w:r>
      <w:r w:rsidRPr="0045423F">
        <w:rPr>
          <w:szCs w:val="24"/>
          <w:lang w:eastAsia="cs-CZ"/>
        </w:rPr>
        <w:t xml:space="preserve"> dat</w:t>
      </w:r>
      <w:r>
        <w:rPr>
          <w:szCs w:val="24"/>
          <w:lang w:eastAsia="cs-CZ"/>
        </w:rPr>
        <w:t>a</w:t>
      </w:r>
      <w:r w:rsidRPr="0045423F">
        <w:rPr>
          <w:szCs w:val="24"/>
          <w:lang w:eastAsia="cs-CZ"/>
        </w:rPr>
        <w:t xml:space="preserve"> </w:t>
      </w:r>
      <w:r>
        <w:rPr>
          <w:szCs w:val="24"/>
          <w:lang w:eastAsia="cs-CZ"/>
        </w:rPr>
        <w:t>v</w:t>
      </w:r>
      <w:r w:rsidRPr="00956D86">
        <w:rPr>
          <w:szCs w:val="24"/>
          <w:lang w:eastAsia="cs-CZ"/>
        </w:rPr>
        <w:t xml:space="preserve"> doprav</w:t>
      </w:r>
      <w:r>
        <w:rPr>
          <w:szCs w:val="24"/>
          <w:lang w:eastAsia="cs-CZ"/>
        </w:rPr>
        <w:t>ě</w:t>
      </w:r>
      <w:r w:rsidRPr="00956D86">
        <w:rPr>
          <w:szCs w:val="24"/>
          <w:lang w:eastAsia="cs-CZ"/>
        </w:rPr>
        <w:t>, regionální</w:t>
      </w:r>
      <w:r>
        <w:rPr>
          <w:szCs w:val="24"/>
          <w:lang w:eastAsia="cs-CZ"/>
        </w:rPr>
        <w:t>m</w:t>
      </w:r>
      <w:r w:rsidRPr="00956D86">
        <w:rPr>
          <w:szCs w:val="24"/>
          <w:lang w:eastAsia="cs-CZ"/>
        </w:rPr>
        <w:t xml:space="preserve"> rozvoj</w:t>
      </w:r>
      <w:r>
        <w:rPr>
          <w:szCs w:val="24"/>
          <w:lang w:eastAsia="cs-CZ"/>
        </w:rPr>
        <w:t>i</w:t>
      </w:r>
      <w:r w:rsidRPr="00956D86">
        <w:rPr>
          <w:szCs w:val="24"/>
          <w:lang w:eastAsia="cs-CZ"/>
        </w:rPr>
        <w:t xml:space="preserve">, </w:t>
      </w:r>
      <w:r w:rsidR="007D52DB">
        <w:rPr>
          <w:szCs w:val="24"/>
          <w:lang w:eastAsia="cs-CZ"/>
        </w:rPr>
        <w:t xml:space="preserve">ochraně životního prostředí, </w:t>
      </w:r>
      <w:r>
        <w:rPr>
          <w:szCs w:val="24"/>
          <w:lang w:eastAsia="cs-CZ"/>
        </w:rPr>
        <w:t>územním</w:t>
      </w:r>
      <w:r w:rsidRPr="00956D86">
        <w:rPr>
          <w:szCs w:val="24"/>
          <w:lang w:eastAsia="cs-CZ"/>
        </w:rPr>
        <w:t xml:space="preserve"> plánov</w:t>
      </w:r>
      <w:r>
        <w:rPr>
          <w:szCs w:val="24"/>
          <w:lang w:eastAsia="cs-CZ"/>
        </w:rPr>
        <w:t>ání</w:t>
      </w:r>
      <w:r w:rsidRPr="00956D86">
        <w:rPr>
          <w:szCs w:val="24"/>
          <w:lang w:eastAsia="cs-CZ"/>
        </w:rPr>
        <w:t>, stavební činnost</w:t>
      </w:r>
      <w:r>
        <w:rPr>
          <w:szCs w:val="24"/>
          <w:lang w:eastAsia="cs-CZ"/>
        </w:rPr>
        <w:t xml:space="preserve">i, </w:t>
      </w:r>
      <w:r w:rsidRPr="00956D86">
        <w:rPr>
          <w:szCs w:val="24"/>
          <w:lang w:eastAsia="cs-CZ"/>
        </w:rPr>
        <w:t>zeměděl</w:t>
      </w:r>
      <w:r>
        <w:rPr>
          <w:szCs w:val="24"/>
          <w:lang w:eastAsia="cs-CZ"/>
        </w:rPr>
        <w:t>ství,</w:t>
      </w:r>
      <w:r w:rsidRPr="00856311">
        <w:rPr>
          <w:szCs w:val="24"/>
          <w:lang w:eastAsia="cs-CZ"/>
        </w:rPr>
        <w:t xml:space="preserve"> </w:t>
      </w:r>
      <w:r w:rsidR="007D52DB">
        <w:rPr>
          <w:szCs w:val="24"/>
          <w:lang w:eastAsia="cs-CZ"/>
        </w:rPr>
        <w:t xml:space="preserve">lesnictví, </w:t>
      </w:r>
      <w:r>
        <w:rPr>
          <w:szCs w:val="24"/>
          <w:lang w:eastAsia="cs-CZ"/>
        </w:rPr>
        <w:t xml:space="preserve">při </w:t>
      </w:r>
      <w:r w:rsidRPr="00856311">
        <w:rPr>
          <w:szCs w:val="24"/>
          <w:lang w:eastAsia="cs-CZ"/>
        </w:rPr>
        <w:t>řešení daňových potřeb stát</w:t>
      </w:r>
      <w:r>
        <w:rPr>
          <w:szCs w:val="24"/>
          <w:lang w:eastAsia="cs-CZ"/>
        </w:rPr>
        <w:t xml:space="preserve">u, v oblasti evidence a správy majetku aj. Prostorová data </w:t>
      </w:r>
      <w:r w:rsidRPr="00956D86">
        <w:rPr>
          <w:szCs w:val="24"/>
          <w:lang w:eastAsia="cs-CZ"/>
        </w:rPr>
        <w:t>mají mimořádný význam pro </w:t>
      </w:r>
      <w:r>
        <w:rPr>
          <w:szCs w:val="24"/>
          <w:lang w:eastAsia="cs-CZ"/>
        </w:rPr>
        <w:t xml:space="preserve">bezpečnost státu, </w:t>
      </w:r>
      <w:r w:rsidRPr="00956D86">
        <w:rPr>
          <w:szCs w:val="24"/>
          <w:lang w:eastAsia="cs-CZ"/>
        </w:rPr>
        <w:t>ochranu obyvatelstva, pro</w:t>
      </w:r>
      <w:r>
        <w:rPr>
          <w:szCs w:val="24"/>
          <w:lang w:eastAsia="cs-CZ"/>
        </w:rPr>
        <w:t xml:space="preserve"> předcházení </w:t>
      </w:r>
      <w:r w:rsidR="007D52DB">
        <w:rPr>
          <w:szCs w:val="24"/>
          <w:lang w:eastAsia="cs-CZ"/>
        </w:rPr>
        <w:t>haváriím a</w:t>
      </w:r>
      <w:r w:rsidR="00790390">
        <w:rPr>
          <w:szCs w:val="24"/>
          <w:lang w:eastAsia="cs-CZ"/>
        </w:rPr>
        <w:t> </w:t>
      </w:r>
      <w:r>
        <w:rPr>
          <w:szCs w:val="24"/>
          <w:lang w:eastAsia="cs-CZ"/>
        </w:rPr>
        <w:t>živelní</w:t>
      </w:r>
      <w:r w:rsidRPr="00956D86">
        <w:rPr>
          <w:szCs w:val="24"/>
          <w:lang w:eastAsia="cs-CZ"/>
        </w:rPr>
        <w:t>m pohromám</w:t>
      </w:r>
      <w:r w:rsidR="007D52DB">
        <w:rPr>
          <w:szCs w:val="24"/>
          <w:lang w:eastAsia="cs-CZ"/>
        </w:rPr>
        <w:t xml:space="preserve"> a řešení mimořádných situací</w:t>
      </w:r>
      <w:r>
        <w:rPr>
          <w:szCs w:val="24"/>
          <w:lang w:eastAsia="cs-CZ"/>
        </w:rPr>
        <w:t xml:space="preserve">. </w:t>
      </w:r>
      <w:r w:rsidRPr="00013086">
        <w:rPr>
          <w:szCs w:val="24"/>
          <w:lang w:eastAsia="cs-CZ"/>
        </w:rPr>
        <w:t>Aktuální, jednotná a rychle dostupná prostorová</w:t>
      </w:r>
      <w:r w:rsidRPr="00956D86">
        <w:rPr>
          <w:szCs w:val="24"/>
          <w:lang w:eastAsia="cs-CZ"/>
        </w:rPr>
        <w:t xml:space="preserve"> data jsou nezbytná </w:t>
      </w:r>
      <w:r w:rsidRPr="001D3F95">
        <w:rPr>
          <w:szCs w:val="24"/>
          <w:lang w:eastAsia="cs-CZ"/>
        </w:rPr>
        <w:t>pro kvalitní operační a</w:t>
      </w:r>
      <w:r>
        <w:rPr>
          <w:szCs w:val="24"/>
          <w:lang w:eastAsia="cs-CZ"/>
        </w:rPr>
        <w:t> </w:t>
      </w:r>
      <w:r w:rsidRPr="001D3F95">
        <w:rPr>
          <w:szCs w:val="24"/>
          <w:lang w:eastAsia="cs-CZ"/>
        </w:rPr>
        <w:t>krizové řízení na všech úrovních.</w:t>
      </w:r>
    </w:p>
    <w:p w:rsidR="004660BB" w:rsidRDefault="005A6E67" w:rsidP="009C41EC">
      <w:pPr>
        <w:rPr>
          <w:szCs w:val="24"/>
          <w:lang w:eastAsia="cs-CZ"/>
        </w:rPr>
      </w:pPr>
      <w:r>
        <w:rPr>
          <w:szCs w:val="24"/>
          <w:lang w:eastAsia="cs-CZ"/>
        </w:rPr>
        <w:t>V České republice</w:t>
      </w:r>
      <w:r w:rsidRPr="000A6F78">
        <w:rPr>
          <w:szCs w:val="24"/>
          <w:lang w:eastAsia="cs-CZ"/>
        </w:rPr>
        <w:t xml:space="preserve"> </w:t>
      </w:r>
      <w:r>
        <w:rPr>
          <w:szCs w:val="24"/>
          <w:lang w:eastAsia="cs-CZ"/>
        </w:rPr>
        <w:t xml:space="preserve">přes vynaložené úsilí </w:t>
      </w:r>
      <w:r w:rsidRPr="000A6F78">
        <w:rPr>
          <w:szCs w:val="24"/>
          <w:lang w:eastAsia="cs-CZ"/>
        </w:rPr>
        <w:t>doposud</w:t>
      </w:r>
      <w:r w:rsidR="004660BB">
        <w:rPr>
          <w:szCs w:val="24"/>
          <w:lang w:eastAsia="cs-CZ"/>
        </w:rPr>
        <w:t xml:space="preserve"> </w:t>
      </w:r>
      <w:r w:rsidRPr="000A6F78">
        <w:rPr>
          <w:szCs w:val="24"/>
          <w:lang w:eastAsia="cs-CZ"/>
        </w:rPr>
        <w:t xml:space="preserve">přetrvávají v oblasti prostorových informací některé problémy, které </w:t>
      </w:r>
      <w:r>
        <w:rPr>
          <w:szCs w:val="24"/>
          <w:lang w:eastAsia="cs-CZ"/>
        </w:rPr>
        <w:t xml:space="preserve">neumožňují skutečně </w:t>
      </w:r>
      <w:r w:rsidRPr="000A6F78">
        <w:rPr>
          <w:szCs w:val="24"/>
          <w:lang w:eastAsia="cs-CZ"/>
        </w:rPr>
        <w:t xml:space="preserve">efektivní využívání </w:t>
      </w:r>
      <w:r>
        <w:rPr>
          <w:szCs w:val="24"/>
          <w:lang w:eastAsia="cs-CZ"/>
        </w:rPr>
        <w:t>existujících prostorových informací nejen</w:t>
      </w:r>
      <w:r w:rsidRPr="000A6F78">
        <w:rPr>
          <w:szCs w:val="24"/>
          <w:lang w:eastAsia="cs-CZ"/>
        </w:rPr>
        <w:t xml:space="preserve"> v agendách veřejné správy, </w:t>
      </w:r>
      <w:r>
        <w:rPr>
          <w:szCs w:val="24"/>
          <w:lang w:eastAsia="cs-CZ"/>
        </w:rPr>
        <w:t xml:space="preserve">ale </w:t>
      </w:r>
      <w:r w:rsidR="00F120A0">
        <w:rPr>
          <w:szCs w:val="24"/>
          <w:lang w:eastAsia="cs-CZ"/>
        </w:rPr>
        <w:t xml:space="preserve">ani </w:t>
      </w:r>
      <w:r>
        <w:rPr>
          <w:szCs w:val="24"/>
          <w:lang w:eastAsia="cs-CZ"/>
        </w:rPr>
        <w:t>v životě celé společnosti</w:t>
      </w:r>
      <w:r w:rsidR="007D52DB">
        <w:rPr>
          <w:szCs w:val="24"/>
          <w:lang w:eastAsia="cs-CZ"/>
        </w:rPr>
        <w:t>.</w:t>
      </w:r>
      <w:r>
        <w:rPr>
          <w:szCs w:val="24"/>
          <w:lang w:eastAsia="cs-CZ"/>
        </w:rPr>
        <w:t xml:space="preserve"> </w:t>
      </w:r>
      <w:r w:rsidR="007D52DB">
        <w:rPr>
          <w:szCs w:val="24"/>
          <w:lang w:eastAsia="cs-CZ"/>
        </w:rPr>
        <w:t xml:space="preserve">Tato situace </w:t>
      </w:r>
      <w:r w:rsidRPr="000A6F78">
        <w:rPr>
          <w:szCs w:val="24"/>
          <w:lang w:eastAsia="cs-CZ"/>
        </w:rPr>
        <w:t>zt</w:t>
      </w:r>
      <w:r w:rsidRPr="000A6F78">
        <w:rPr>
          <w:szCs w:val="24"/>
          <w:lang w:eastAsia="cs-CZ"/>
        </w:rPr>
        <w:t>ě</w:t>
      </w:r>
      <w:r w:rsidRPr="000A6F78">
        <w:rPr>
          <w:szCs w:val="24"/>
          <w:lang w:eastAsia="cs-CZ"/>
        </w:rPr>
        <w:t>žuj</w:t>
      </w:r>
      <w:r w:rsidR="007D52DB">
        <w:rPr>
          <w:szCs w:val="24"/>
          <w:lang w:eastAsia="cs-CZ"/>
        </w:rPr>
        <w:t>e</w:t>
      </w:r>
      <w:r>
        <w:rPr>
          <w:szCs w:val="24"/>
          <w:lang w:eastAsia="cs-CZ"/>
        </w:rPr>
        <w:t xml:space="preserve"> a zpomaluj</w:t>
      </w:r>
      <w:r w:rsidR="007D52DB">
        <w:rPr>
          <w:szCs w:val="24"/>
          <w:lang w:eastAsia="cs-CZ"/>
        </w:rPr>
        <w:t>e</w:t>
      </w:r>
      <w:r w:rsidRPr="000A6F78">
        <w:rPr>
          <w:szCs w:val="24"/>
          <w:lang w:eastAsia="cs-CZ"/>
        </w:rPr>
        <w:t xml:space="preserve"> nasazení</w:t>
      </w:r>
      <w:r>
        <w:rPr>
          <w:szCs w:val="24"/>
          <w:lang w:eastAsia="cs-CZ"/>
        </w:rPr>
        <w:t xml:space="preserve"> </w:t>
      </w:r>
      <w:r w:rsidRPr="000A6F78">
        <w:rPr>
          <w:szCs w:val="24"/>
          <w:lang w:eastAsia="cs-CZ"/>
        </w:rPr>
        <w:t>moderních</w:t>
      </w:r>
      <w:r>
        <w:rPr>
          <w:szCs w:val="24"/>
          <w:lang w:eastAsia="cs-CZ"/>
        </w:rPr>
        <w:t xml:space="preserve"> informačních a komunikačních technologií</w:t>
      </w:r>
      <w:r w:rsidRPr="000A6F78">
        <w:rPr>
          <w:szCs w:val="24"/>
          <w:lang w:eastAsia="cs-CZ"/>
        </w:rPr>
        <w:t xml:space="preserve"> </w:t>
      </w:r>
      <w:r>
        <w:rPr>
          <w:szCs w:val="24"/>
          <w:lang w:eastAsia="cs-CZ"/>
        </w:rPr>
        <w:t>v této obla</w:t>
      </w:r>
      <w:r>
        <w:rPr>
          <w:szCs w:val="24"/>
          <w:lang w:eastAsia="cs-CZ"/>
        </w:rPr>
        <w:t>s</w:t>
      </w:r>
      <w:r>
        <w:rPr>
          <w:szCs w:val="24"/>
          <w:lang w:eastAsia="cs-CZ"/>
        </w:rPr>
        <w:t>ti</w:t>
      </w:r>
      <w:r w:rsidR="007A27D6">
        <w:rPr>
          <w:szCs w:val="24"/>
          <w:lang w:eastAsia="cs-CZ"/>
        </w:rPr>
        <w:t>.</w:t>
      </w:r>
      <w:r w:rsidR="00790390">
        <w:rPr>
          <w:szCs w:val="24"/>
          <w:lang w:eastAsia="cs-CZ"/>
        </w:rPr>
        <w:t xml:space="preserve"> </w:t>
      </w:r>
      <w:r w:rsidR="00F120A0">
        <w:rPr>
          <w:szCs w:val="24"/>
          <w:lang w:eastAsia="cs-CZ"/>
        </w:rPr>
        <w:t>V</w:t>
      </w:r>
      <w:r w:rsidR="00790390">
        <w:rPr>
          <w:szCs w:val="24"/>
          <w:lang w:eastAsia="cs-CZ"/>
        </w:rPr>
        <w:t xml:space="preserve"> </w:t>
      </w:r>
      <w:r w:rsidR="00467C08">
        <w:rPr>
          <w:szCs w:val="24"/>
          <w:lang w:eastAsia="cs-CZ"/>
        </w:rPr>
        <w:t xml:space="preserve">České republice </w:t>
      </w:r>
      <w:r>
        <w:rPr>
          <w:szCs w:val="24"/>
          <w:lang w:eastAsia="cs-CZ"/>
        </w:rPr>
        <w:t>c</w:t>
      </w:r>
      <w:r w:rsidRPr="000A6F78">
        <w:rPr>
          <w:szCs w:val="24"/>
          <w:lang w:eastAsia="cs-CZ"/>
        </w:rPr>
        <w:t>hybí ucelená koncepce pořizování, správy a</w:t>
      </w:r>
      <w:r>
        <w:rPr>
          <w:szCs w:val="24"/>
          <w:lang w:eastAsia="cs-CZ"/>
        </w:rPr>
        <w:t> </w:t>
      </w:r>
      <w:r w:rsidRPr="000A6F78">
        <w:rPr>
          <w:szCs w:val="24"/>
          <w:lang w:eastAsia="cs-CZ"/>
        </w:rPr>
        <w:t>využí</w:t>
      </w:r>
      <w:r>
        <w:rPr>
          <w:szCs w:val="24"/>
          <w:lang w:eastAsia="cs-CZ"/>
        </w:rPr>
        <w:t>vání</w:t>
      </w:r>
      <w:r w:rsidRPr="000A6F78">
        <w:rPr>
          <w:szCs w:val="24"/>
          <w:lang w:eastAsia="cs-CZ"/>
        </w:rPr>
        <w:t xml:space="preserve"> prostorových dat</w:t>
      </w:r>
      <w:r>
        <w:rPr>
          <w:szCs w:val="24"/>
          <w:lang w:eastAsia="cs-CZ"/>
        </w:rPr>
        <w:t>.</w:t>
      </w:r>
      <w:r w:rsidR="00467C08">
        <w:rPr>
          <w:szCs w:val="24"/>
          <w:lang w:eastAsia="cs-CZ"/>
        </w:rPr>
        <w:t xml:space="preserve"> </w:t>
      </w:r>
    </w:p>
    <w:p w:rsidR="00813A09" w:rsidRPr="00813A09" w:rsidRDefault="00467C08" w:rsidP="00813A09">
      <w:pPr>
        <w:rPr>
          <w:rFonts w:eastAsia="Calibri"/>
        </w:rPr>
      </w:pPr>
      <w:r>
        <w:rPr>
          <w:szCs w:val="24"/>
          <w:lang w:eastAsia="cs-CZ"/>
        </w:rPr>
        <w:t xml:space="preserve">Tuto koncepci představuje Strategie </w:t>
      </w:r>
      <w:r w:rsidRPr="00002A0A">
        <w:rPr>
          <w:szCs w:val="24"/>
          <w:lang w:eastAsia="cs-CZ"/>
        </w:rPr>
        <w:t>rozvoje infrastruktury pro prostorové informace v České republice do roku 2020</w:t>
      </w:r>
      <w:r w:rsidR="00F120A0">
        <w:rPr>
          <w:szCs w:val="24"/>
          <w:lang w:eastAsia="cs-CZ"/>
        </w:rPr>
        <w:t xml:space="preserve"> (dále jen „Strategie“)</w:t>
      </w:r>
      <w:r>
        <w:rPr>
          <w:szCs w:val="24"/>
          <w:lang w:eastAsia="cs-CZ"/>
        </w:rPr>
        <w:t xml:space="preserve">, která je vypracována </w:t>
      </w:r>
      <w:r>
        <w:rPr>
          <w:rFonts w:eastAsia="Calibri"/>
        </w:rPr>
        <w:t>v souladu s principy d</w:t>
      </w:r>
      <w:r>
        <w:rPr>
          <w:rFonts w:eastAsia="Calibri"/>
        </w:rPr>
        <w:t>o</w:t>
      </w:r>
      <w:r>
        <w:rPr>
          <w:rFonts w:eastAsia="Calibri"/>
        </w:rPr>
        <w:t>hodnutými na mezinárodní úrovni a v návaznosti na další strategické dokumenty České r</w:t>
      </w:r>
      <w:r>
        <w:rPr>
          <w:rFonts w:eastAsia="Calibri"/>
        </w:rPr>
        <w:t>e</w:t>
      </w:r>
      <w:r>
        <w:rPr>
          <w:rFonts w:eastAsia="Calibri"/>
        </w:rPr>
        <w:t xml:space="preserve">publiky s cílem vymezit strategický rozvojový rámec, nastavit jasná pravidla pro tvorbu, </w:t>
      </w:r>
      <w:r w:rsidRPr="004965FE">
        <w:rPr>
          <w:rFonts w:eastAsia="Calibri"/>
        </w:rPr>
        <w:t>správu a</w:t>
      </w:r>
      <w:r>
        <w:rPr>
          <w:rFonts w:eastAsia="Calibri"/>
        </w:rPr>
        <w:t> </w:t>
      </w:r>
      <w:r w:rsidRPr="004965FE">
        <w:rPr>
          <w:rFonts w:eastAsia="Calibri"/>
        </w:rPr>
        <w:t>využívání prostorových informací</w:t>
      </w:r>
      <w:r>
        <w:rPr>
          <w:rFonts w:eastAsia="Calibri"/>
        </w:rPr>
        <w:t xml:space="preserve"> celou společností a vytvořit</w:t>
      </w:r>
      <w:r w:rsidRPr="004965FE">
        <w:rPr>
          <w:rFonts w:eastAsia="Calibri"/>
        </w:rPr>
        <w:t xml:space="preserve"> podmínky pro org</w:t>
      </w:r>
      <w:r w:rsidRPr="004965FE">
        <w:rPr>
          <w:rFonts w:eastAsia="Calibri"/>
        </w:rPr>
        <w:t>a</w:t>
      </w:r>
      <w:r w:rsidRPr="004965FE">
        <w:rPr>
          <w:rFonts w:eastAsia="Calibri"/>
        </w:rPr>
        <w:t xml:space="preserve">nické začlenění </w:t>
      </w:r>
      <w:r>
        <w:rPr>
          <w:rFonts w:eastAsia="Calibri"/>
        </w:rPr>
        <w:t xml:space="preserve">garantovaných </w:t>
      </w:r>
      <w:r w:rsidRPr="004965FE">
        <w:rPr>
          <w:rFonts w:eastAsia="Calibri"/>
        </w:rPr>
        <w:t>prostorových informací do rozhodovacích procesů ve veřejné správě</w:t>
      </w:r>
      <w:r>
        <w:rPr>
          <w:rFonts w:eastAsia="Calibri"/>
        </w:rPr>
        <w:t xml:space="preserve"> i do života celé společnosti.</w:t>
      </w:r>
    </w:p>
    <w:p w:rsidR="00813A09" w:rsidRDefault="00813A09" w:rsidP="009D1D21">
      <w:pPr>
        <w:pStyle w:val="Nadpis"/>
        <w:spacing w:before="24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Budoucí i</w:t>
      </w:r>
      <w:r w:rsidRPr="00813A09">
        <w:rPr>
          <w:rFonts w:ascii="Times New Roman" w:hAnsi="Times New Roman" w:cs="Times New Roman"/>
          <w:b w:val="0"/>
          <w:color w:val="auto"/>
          <w:sz w:val="24"/>
          <w:szCs w:val="24"/>
        </w:rPr>
        <w:t>mplementace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Strategie přispěje k naplňování cílů obsažených v </w:t>
      </w:r>
      <w:r w:rsidRPr="00813A09">
        <w:rPr>
          <w:rFonts w:ascii="Times New Roman" w:hAnsi="Times New Roman" w:cs="Times New Roman"/>
          <w:b w:val="0"/>
          <w:color w:val="auto"/>
          <w:sz w:val="24"/>
          <w:szCs w:val="24"/>
        </w:rPr>
        <w:t>Programové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m</w:t>
      </w:r>
      <w:r w:rsidRPr="00813A0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pr</w:t>
      </w:r>
      <w:r w:rsidRPr="00813A09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Pr="00813A09">
        <w:rPr>
          <w:rFonts w:ascii="Times New Roman" w:hAnsi="Times New Roman" w:cs="Times New Roman"/>
          <w:b w:val="0"/>
          <w:color w:val="auto"/>
          <w:sz w:val="24"/>
          <w:szCs w:val="24"/>
        </w:rPr>
        <w:t>hlášení vlády České republiky ze dne 12. února 2014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 Strategie přispívá k</w:t>
      </w:r>
      <w:r w:rsidR="009D1D21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naplňování</w:t>
      </w:r>
      <w:r w:rsidR="009D1D2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9D1D21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813A09">
        <w:rPr>
          <w:rFonts w:ascii="Times New Roman" w:hAnsi="Times New Roman" w:cs="Times New Roman"/>
          <w:color w:val="auto"/>
          <w:sz w:val="24"/>
          <w:szCs w:val="24"/>
        </w:rPr>
        <w:t>vládních priorit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rozvoje Č</w:t>
      </w:r>
      <w:r w:rsidR="009D1D21">
        <w:rPr>
          <w:rFonts w:ascii="Times New Roman" w:hAnsi="Times New Roman" w:cs="Times New Roman"/>
          <w:b w:val="0"/>
          <w:color w:val="auto"/>
          <w:sz w:val="24"/>
          <w:szCs w:val="24"/>
        </w:rPr>
        <w:t>eské republiky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 především k</w:t>
      </w:r>
    </w:p>
    <w:p w:rsidR="00813A09" w:rsidRDefault="00813A09" w:rsidP="00790390">
      <w:pPr>
        <w:pStyle w:val="Nadpis"/>
        <w:numPr>
          <w:ilvl w:val="0"/>
          <w:numId w:val="14"/>
        </w:numPr>
        <w:ind w:left="714" w:hanging="35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rozvoji podmínek pro svobodné podnikání, </w:t>
      </w:r>
      <w:r w:rsidRPr="00A42BA9">
        <w:rPr>
          <w:rFonts w:ascii="Times New Roman" w:hAnsi="Times New Roman" w:cs="Times New Roman"/>
          <w:b w:val="0"/>
          <w:color w:val="auto"/>
          <w:sz w:val="24"/>
          <w:szCs w:val="24"/>
        </w:rPr>
        <w:t>nastartování udržitelného hospodářského růstu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 </w:t>
      </w:r>
      <w:r w:rsidRPr="00A42BA9">
        <w:rPr>
          <w:rFonts w:ascii="Times New Roman" w:hAnsi="Times New Roman" w:cs="Times New Roman"/>
          <w:b w:val="0"/>
          <w:color w:val="auto"/>
          <w:sz w:val="24"/>
          <w:szCs w:val="24"/>
        </w:rPr>
        <w:t>zvýšení konkurenceschopnosti ekonomiky země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</w:p>
    <w:p w:rsidR="00813A09" w:rsidRDefault="00813A09" w:rsidP="00790390">
      <w:pPr>
        <w:pStyle w:val="Nadpis"/>
        <w:numPr>
          <w:ilvl w:val="0"/>
          <w:numId w:val="14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racionalizaci hospodaření státu a odstranění všech forem plýtvání veřejnými prostře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d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ky,</w:t>
      </w:r>
    </w:p>
    <w:p w:rsidR="00813A09" w:rsidRDefault="00813A09" w:rsidP="00790390">
      <w:pPr>
        <w:pStyle w:val="Nadpis"/>
        <w:numPr>
          <w:ilvl w:val="0"/>
          <w:numId w:val="14"/>
        </w:numPr>
        <w:ind w:left="714" w:hanging="35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rozvoji kvalitních a všeobecně dostupných veřejných služeb v oblasti dopravy a be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z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pečnosti,</w:t>
      </w:r>
    </w:p>
    <w:p w:rsidR="00813A09" w:rsidRDefault="00813A09" w:rsidP="00790390">
      <w:pPr>
        <w:pStyle w:val="Nadpis"/>
        <w:numPr>
          <w:ilvl w:val="0"/>
          <w:numId w:val="14"/>
        </w:numPr>
        <w:ind w:left="714" w:hanging="35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efektivnímu využití informačních a komunikačních technologií ve veřejné správě,</w:t>
      </w:r>
    </w:p>
    <w:p w:rsidR="00813A09" w:rsidRDefault="00813A09" w:rsidP="00790390">
      <w:pPr>
        <w:pStyle w:val="Nadpis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13A09">
        <w:rPr>
          <w:rFonts w:ascii="Times New Roman" w:hAnsi="Times New Roman" w:cs="Times New Roman"/>
          <w:color w:val="auto"/>
          <w:sz w:val="24"/>
          <w:szCs w:val="24"/>
        </w:rPr>
        <w:t>rezortních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13A09">
        <w:rPr>
          <w:rFonts w:ascii="Times New Roman" w:hAnsi="Times New Roman" w:cs="Times New Roman"/>
          <w:color w:val="auto"/>
          <w:sz w:val="24"/>
          <w:szCs w:val="24"/>
        </w:rPr>
        <w:t>priorit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 zejména</w:t>
      </w:r>
    </w:p>
    <w:p w:rsidR="00813A09" w:rsidRDefault="00813A09" w:rsidP="00790390">
      <w:pPr>
        <w:pStyle w:val="Nadpis"/>
        <w:numPr>
          <w:ilvl w:val="0"/>
          <w:numId w:val="15"/>
        </w:numPr>
        <w:ind w:left="714" w:hanging="35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při centrální evidenci a správě veškerého nemovitého majetku, který by měl být cen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t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rálně evidován a spravován, nebo posílení daňové kontroly,</w:t>
      </w:r>
    </w:p>
    <w:p w:rsidR="00813A09" w:rsidRDefault="00813A09" w:rsidP="00790390">
      <w:pPr>
        <w:pStyle w:val="Nadpis"/>
        <w:numPr>
          <w:ilvl w:val="0"/>
          <w:numId w:val="15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v oblasti podpory malého a středního podnikání a při snižování administrativní zátěže pro podnikatele,</w:t>
      </w:r>
    </w:p>
    <w:p w:rsidR="009C58B1" w:rsidRPr="009C58B1" w:rsidRDefault="009C58B1" w:rsidP="009C58B1">
      <w:pPr>
        <w:pStyle w:val="Nadpis"/>
        <w:numPr>
          <w:ilvl w:val="0"/>
          <w:numId w:val="15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v oblasti podpory </w:t>
      </w:r>
      <w:r w:rsidRPr="002E593F">
        <w:rPr>
          <w:rFonts w:ascii="Times New Roman" w:hAnsi="Times New Roman" w:cs="Times New Roman"/>
          <w:b w:val="0"/>
          <w:color w:val="auto"/>
          <w:sz w:val="24"/>
          <w:szCs w:val="24"/>
        </w:rPr>
        <w:t>ochrany životního prostředí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</w:p>
    <w:p w:rsidR="00813A09" w:rsidRDefault="00813A09" w:rsidP="00790390">
      <w:pPr>
        <w:pStyle w:val="Nadpis"/>
        <w:numPr>
          <w:ilvl w:val="0"/>
          <w:numId w:val="15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v oblasti podpory dalšího rozvoje dopravní telematiky a kosmických aktivit v ČR,</w:t>
      </w:r>
    </w:p>
    <w:p w:rsidR="00813A09" w:rsidRDefault="00813A09" w:rsidP="00790390">
      <w:pPr>
        <w:pStyle w:val="Nadpis"/>
        <w:numPr>
          <w:ilvl w:val="0"/>
          <w:numId w:val="15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v oblasti územního plánování a stavebního řádu,</w:t>
      </w:r>
    </w:p>
    <w:p w:rsidR="00813A09" w:rsidRDefault="00813A09" w:rsidP="00790390">
      <w:pPr>
        <w:pStyle w:val="Nadpis"/>
        <w:numPr>
          <w:ilvl w:val="0"/>
          <w:numId w:val="15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v oblasti posílení vnitřní bezpečnosti země</w:t>
      </w:r>
    </w:p>
    <w:p w:rsidR="00813A09" w:rsidRDefault="00813A09" w:rsidP="00790390">
      <w:pPr>
        <w:pStyle w:val="Nadpis"/>
        <w:numPr>
          <w:ilvl w:val="1"/>
          <w:numId w:val="15"/>
        </w:numPr>
        <w:ind w:hanging="35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při podpoře trvalé připravenosti a akceschopnosti složek integrovaného z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á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chranného systému,</w:t>
      </w:r>
    </w:p>
    <w:p w:rsidR="00813A09" w:rsidRDefault="00813A09" w:rsidP="00790390">
      <w:pPr>
        <w:pStyle w:val="Nadpis"/>
        <w:numPr>
          <w:ilvl w:val="1"/>
          <w:numId w:val="15"/>
        </w:numPr>
        <w:ind w:hanging="35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při podpoře činností v oblasti bezpečnostní (boj proti terorismu, extremismu, organizovanému zločinu, …),</w:t>
      </w:r>
    </w:p>
    <w:p w:rsidR="00813A09" w:rsidRDefault="00813A09" w:rsidP="00790390">
      <w:pPr>
        <w:pStyle w:val="Nadpis"/>
        <w:numPr>
          <w:ilvl w:val="0"/>
          <w:numId w:val="15"/>
        </w:numPr>
        <w:ind w:hanging="35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zlepšení fungování veřejné správy a eGovernmentu tak, aby bylo efektivní a úsporné,</w:t>
      </w:r>
    </w:p>
    <w:p w:rsidR="00813A09" w:rsidRDefault="00813A09" w:rsidP="00790390">
      <w:pPr>
        <w:pStyle w:val="Nadpis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13A09">
        <w:rPr>
          <w:rFonts w:ascii="Times New Roman" w:hAnsi="Times New Roman" w:cs="Times New Roman"/>
          <w:color w:val="auto"/>
          <w:sz w:val="24"/>
          <w:szCs w:val="24"/>
        </w:rPr>
        <w:t>i priorit v oblasti mezinárodní spolupráce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 v první řadě</w:t>
      </w:r>
    </w:p>
    <w:p w:rsidR="00813A09" w:rsidRDefault="00813A09" w:rsidP="00790390">
      <w:pPr>
        <w:pStyle w:val="Nadpis"/>
        <w:numPr>
          <w:ilvl w:val="0"/>
          <w:numId w:val="16"/>
        </w:numPr>
        <w:ind w:left="714" w:hanging="357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rozvoj schopností vyčleňovaných do pohotovostních uskupení NATO a Evropské unie s důrazem na interoperabilitu a schopnost mezinárodní spolupráce,</w:t>
      </w:r>
    </w:p>
    <w:p w:rsidR="00813A09" w:rsidRDefault="00813A09" w:rsidP="00790390">
      <w:pPr>
        <w:pStyle w:val="Nadpis"/>
        <w:numPr>
          <w:ilvl w:val="0"/>
          <w:numId w:val="16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posilování evropské integrace a spolupráce mimo jiné v oblastech dopravy a životního prostředí (INSPIRE),</w:t>
      </w:r>
    </w:p>
    <w:p w:rsidR="00813A09" w:rsidRDefault="00813A09" w:rsidP="00790390">
      <w:pPr>
        <w:pStyle w:val="Nadpis"/>
        <w:numPr>
          <w:ilvl w:val="0"/>
          <w:numId w:val="16"/>
        </w:numPr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důraz na vytváření sdílených kapacit, sil a prostředků hlavních složek bezpečnostního systému (armáda, policie, hasiči) s cílem dosáhnout co největší účinnosti při prevenci a odstraňování následků katastrof a živelných pohrom.</w:t>
      </w:r>
    </w:p>
    <w:p w:rsidR="00693B2F" w:rsidRDefault="00693B2F" w:rsidP="00D6703B">
      <w:pPr>
        <w:pStyle w:val="Nadpis2"/>
      </w:pPr>
      <w:r w:rsidRPr="00D6703B">
        <w:t>Účel dokumentu</w:t>
      </w:r>
    </w:p>
    <w:p w:rsidR="003D233F" w:rsidRPr="00124299" w:rsidRDefault="003D233F" w:rsidP="003D233F">
      <w:pPr>
        <w:spacing w:before="100" w:beforeAutospacing="1" w:after="100" w:afterAutospacing="1"/>
        <w:rPr>
          <w:rFonts w:cs="Times New Roman"/>
          <w:szCs w:val="24"/>
        </w:rPr>
      </w:pPr>
      <w:r w:rsidRPr="00124299">
        <w:rPr>
          <w:rFonts w:cs="Times New Roman"/>
          <w:szCs w:val="24"/>
        </w:rPr>
        <w:t>Strategie je vytvořena na základě usnesení vlády České republiky ze dne 14.</w:t>
      </w:r>
      <w:r>
        <w:rPr>
          <w:rFonts w:cs="Times New Roman"/>
          <w:szCs w:val="24"/>
        </w:rPr>
        <w:t xml:space="preserve"> </w:t>
      </w:r>
      <w:r w:rsidRPr="00124299">
        <w:rPr>
          <w:rFonts w:cs="Times New Roman"/>
          <w:szCs w:val="24"/>
        </w:rPr>
        <w:t>listopadu 2012 č. 837 s cílem stanovit obecný strategický rámec pro rozvoj správy a využívání prostorových informací v České republice při respektování mezinárodních závazků, jimiž je Česká republ</w:t>
      </w:r>
      <w:r w:rsidRPr="00124299">
        <w:rPr>
          <w:rFonts w:cs="Times New Roman"/>
          <w:szCs w:val="24"/>
        </w:rPr>
        <w:t>i</w:t>
      </w:r>
      <w:r w:rsidRPr="00124299">
        <w:rPr>
          <w:rFonts w:cs="Times New Roman"/>
          <w:szCs w:val="24"/>
        </w:rPr>
        <w:t>ka v této oblasti</w:t>
      </w:r>
      <w:r w:rsidR="00F120A0">
        <w:rPr>
          <w:rFonts w:cs="Times New Roman"/>
          <w:szCs w:val="24"/>
        </w:rPr>
        <w:t xml:space="preserve"> </w:t>
      </w:r>
      <w:r w:rsidR="00F120A0" w:rsidRPr="00124299">
        <w:rPr>
          <w:rFonts w:cs="Times New Roman"/>
          <w:szCs w:val="24"/>
        </w:rPr>
        <w:t>vázána</w:t>
      </w:r>
      <w:r w:rsidRPr="00124299">
        <w:rPr>
          <w:rFonts w:cs="Times New Roman"/>
          <w:szCs w:val="24"/>
        </w:rPr>
        <w:t xml:space="preserve">. </w:t>
      </w:r>
    </w:p>
    <w:p w:rsidR="005D638E" w:rsidRDefault="005D638E" w:rsidP="003D233F">
      <w:pPr>
        <w:spacing w:before="100" w:beforeAutospacing="1" w:after="100" w:afterAutospacing="1"/>
        <w:rPr>
          <w:rFonts w:cs="Times New Roman"/>
          <w:szCs w:val="24"/>
        </w:rPr>
      </w:pPr>
      <w:r>
        <w:rPr>
          <w:rFonts w:cs="Times New Roman"/>
          <w:szCs w:val="24"/>
        </w:rPr>
        <w:t>Strategie</w:t>
      </w:r>
      <w:r w:rsidR="003D233F" w:rsidRPr="00124299">
        <w:rPr>
          <w:rFonts w:cs="Times New Roman"/>
          <w:szCs w:val="24"/>
        </w:rPr>
        <w:t xml:space="preserve"> představuje strategický materiál s dlouhodobým horizontem, který stanovuje</w:t>
      </w:r>
      <w:r>
        <w:rPr>
          <w:rFonts w:cs="Times New Roman"/>
          <w:szCs w:val="24"/>
        </w:rPr>
        <w:t xml:space="preserve"> v těsné vazb</w:t>
      </w:r>
      <w:r w:rsidR="00F120A0">
        <w:rPr>
          <w:rFonts w:cs="Times New Roman"/>
          <w:szCs w:val="24"/>
        </w:rPr>
        <w:t>ě</w:t>
      </w:r>
      <w:r>
        <w:rPr>
          <w:rFonts w:cs="Times New Roman"/>
          <w:szCs w:val="24"/>
        </w:rPr>
        <w:t xml:space="preserve"> na strategické dokumenty ČR pro oblast eGovernmentu</w:t>
      </w:r>
      <w:r w:rsidR="003D233F" w:rsidRPr="00124299">
        <w:rPr>
          <w:rFonts w:cs="Times New Roman"/>
          <w:szCs w:val="24"/>
        </w:rPr>
        <w:t xml:space="preserve"> principy a </w:t>
      </w:r>
      <w:r w:rsidR="003D233F">
        <w:rPr>
          <w:rFonts w:cs="Times New Roman"/>
          <w:szCs w:val="24"/>
        </w:rPr>
        <w:t>cíle</w:t>
      </w:r>
      <w:r w:rsidR="003D233F" w:rsidRPr="00124299">
        <w:rPr>
          <w:rFonts w:cs="Times New Roman"/>
          <w:szCs w:val="24"/>
        </w:rPr>
        <w:t xml:space="preserve">, </w:t>
      </w:r>
      <w:r w:rsidR="003D233F">
        <w:rPr>
          <w:rFonts w:cs="Times New Roman"/>
          <w:szCs w:val="24"/>
        </w:rPr>
        <w:t>jejichž dosažení zajistí</w:t>
      </w:r>
      <w:r w:rsidR="003D233F" w:rsidRPr="00124299">
        <w:rPr>
          <w:rFonts w:cs="Times New Roman"/>
          <w:szCs w:val="24"/>
        </w:rPr>
        <w:t xml:space="preserve"> efektivní využívání prostorových informací jak pro činnost veřejné správy, tak i</w:t>
      </w:r>
      <w:r w:rsidR="00F120A0">
        <w:rPr>
          <w:rFonts w:cs="Times New Roman"/>
          <w:szCs w:val="24"/>
        </w:rPr>
        <w:t> </w:t>
      </w:r>
      <w:r w:rsidR="003D233F" w:rsidRPr="00124299">
        <w:rPr>
          <w:rFonts w:cs="Times New Roman"/>
          <w:szCs w:val="24"/>
        </w:rPr>
        <w:t>pro rozvoj služeb a produktů komerčního sektoru</w:t>
      </w:r>
      <w:r w:rsidR="00F120A0">
        <w:rPr>
          <w:rFonts w:cs="Times New Roman"/>
          <w:szCs w:val="24"/>
        </w:rPr>
        <w:t xml:space="preserve"> v této oblasti</w:t>
      </w:r>
      <w:r w:rsidR="00D73E04">
        <w:rPr>
          <w:rFonts w:cs="Times New Roman"/>
          <w:szCs w:val="24"/>
        </w:rPr>
        <w:t>.</w:t>
      </w:r>
      <w:r w:rsidR="003D233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Tato Strategie</w:t>
      </w:r>
      <w:r w:rsidRPr="00A64CBC">
        <w:rPr>
          <w:rFonts w:cs="Times New Roman"/>
          <w:szCs w:val="24"/>
        </w:rPr>
        <w:t xml:space="preserve"> je prvním strat</w:t>
      </w:r>
      <w:r w:rsidRPr="00A64CBC">
        <w:rPr>
          <w:rFonts w:cs="Times New Roman"/>
          <w:szCs w:val="24"/>
        </w:rPr>
        <w:t>e</w:t>
      </w:r>
      <w:r w:rsidRPr="00A64CBC">
        <w:rPr>
          <w:rFonts w:cs="Times New Roman"/>
          <w:szCs w:val="24"/>
        </w:rPr>
        <w:t>gickým materiálem zohledňujícím inovativní přístup k rozvoji eGovernmentu v </w:t>
      </w:r>
      <w:r w:rsidRPr="00823898">
        <w:rPr>
          <w:rFonts w:cs="Times New Roman"/>
          <w:szCs w:val="24"/>
        </w:rPr>
        <w:t>České repu</w:t>
      </w:r>
      <w:r w:rsidRPr="00823898">
        <w:rPr>
          <w:rFonts w:cs="Times New Roman"/>
          <w:szCs w:val="24"/>
        </w:rPr>
        <w:t>b</w:t>
      </w:r>
      <w:r w:rsidRPr="00823898">
        <w:rPr>
          <w:rFonts w:cs="Times New Roman"/>
          <w:szCs w:val="24"/>
        </w:rPr>
        <w:t>lice, jak jej definuje dokument „Strategický rámec rozvoje eGovernmentu 2014+“</w:t>
      </w:r>
      <w:r>
        <w:rPr>
          <w:rFonts w:cs="Times New Roman"/>
          <w:szCs w:val="24"/>
        </w:rPr>
        <w:t xml:space="preserve"> – </w:t>
      </w:r>
      <w:r w:rsidRPr="00D13C71">
        <w:rPr>
          <w:rFonts w:cs="Times New Roman"/>
          <w:b/>
          <w:szCs w:val="24"/>
        </w:rPr>
        <w:t>sdílené služby</w:t>
      </w:r>
      <w:r w:rsidR="00ED00C6">
        <w:rPr>
          <w:rFonts w:cs="Times New Roman"/>
          <w:szCs w:val="24"/>
        </w:rPr>
        <w:t>.</w:t>
      </w:r>
    </w:p>
    <w:p w:rsidR="004660BB" w:rsidRDefault="005D638E" w:rsidP="00F71CB7">
      <w:pPr>
        <w:spacing w:before="120"/>
        <w:rPr>
          <w:rFonts w:cs="Times New Roman"/>
          <w:szCs w:val="24"/>
        </w:rPr>
      </w:pPr>
      <w:r>
        <w:rPr>
          <w:rFonts w:cs="Times New Roman"/>
          <w:szCs w:val="24"/>
        </w:rPr>
        <w:t>Strategie</w:t>
      </w:r>
      <w:r w:rsidR="003D233F">
        <w:rPr>
          <w:rFonts w:cs="Times New Roman"/>
          <w:szCs w:val="24"/>
        </w:rPr>
        <w:t xml:space="preserve"> popisuje, čeho chceme </w:t>
      </w:r>
      <w:r>
        <w:rPr>
          <w:rFonts w:cs="Times New Roman"/>
          <w:szCs w:val="24"/>
        </w:rPr>
        <w:t xml:space="preserve">v dané oblasti </w:t>
      </w:r>
      <w:r w:rsidR="003D233F">
        <w:rPr>
          <w:rFonts w:cs="Times New Roman"/>
          <w:szCs w:val="24"/>
        </w:rPr>
        <w:t xml:space="preserve">dosáhnout a jaké </w:t>
      </w:r>
      <w:r w:rsidR="00360BDD">
        <w:rPr>
          <w:rFonts w:cs="Times New Roman"/>
          <w:szCs w:val="24"/>
        </w:rPr>
        <w:t xml:space="preserve">koncepční </w:t>
      </w:r>
      <w:r w:rsidR="009C58B1">
        <w:rPr>
          <w:rFonts w:cs="Times New Roman"/>
          <w:szCs w:val="24"/>
        </w:rPr>
        <w:t>kroky je k tomu třeba učinit,</w:t>
      </w:r>
      <w:r w:rsidR="003D233F">
        <w:rPr>
          <w:rFonts w:cs="Times New Roman"/>
          <w:szCs w:val="24"/>
        </w:rPr>
        <w:t xml:space="preserve"> popisuje </w:t>
      </w:r>
      <w:r w:rsidR="009C58B1">
        <w:rPr>
          <w:rFonts w:cs="Times New Roman"/>
          <w:szCs w:val="24"/>
        </w:rPr>
        <w:t xml:space="preserve">především </w:t>
      </w:r>
      <w:r w:rsidR="003D233F">
        <w:rPr>
          <w:rFonts w:cs="Times New Roman"/>
          <w:szCs w:val="24"/>
        </w:rPr>
        <w:t>výchozí stav v oblasti prostorových informací v České repu</w:t>
      </w:r>
      <w:r w:rsidR="003D233F">
        <w:rPr>
          <w:rFonts w:cs="Times New Roman"/>
          <w:szCs w:val="24"/>
        </w:rPr>
        <w:t>b</w:t>
      </w:r>
      <w:r w:rsidR="003D233F">
        <w:rPr>
          <w:rFonts w:cs="Times New Roman"/>
          <w:szCs w:val="24"/>
        </w:rPr>
        <w:t xml:space="preserve">lice, </w:t>
      </w:r>
      <w:r w:rsidR="00F120A0">
        <w:rPr>
          <w:rFonts w:cs="Times New Roman"/>
          <w:szCs w:val="24"/>
        </w:rPr>
        <w:t xml:space="preserve">hlavní </w:t>
      </w:r>
      <w:r w:rsidR="003D233F">
        <w:rPr>
          <w:rFonts w:cs="Times New Roman"/>
          <w:szCs w:val="24"/>
        </w:rPr>
        <w:t>problémy</w:t>
      </w:r>
      <w:r w:rsidR="00790390">
        <w:rPr>
          <w:rFonts w:cs="Times New Roman"/>
          <w:szCs w:val="24"/>
        </w:rPr>
        <w:t xml:space="preserve"> </w:t>
      </w:r>
      <w:r w:rsidR="00F120A0">
        <w:rPr>
          <w:rFonts w:cs="Times New Roman"/>
          <w:szCs w:val="24"/>
        </w:rPr>
        <w:t>současného stavu</w:t>
      </w:r>
      <w:r w:rsidR="003D233F" w:rsidRPr="00D006B2">
        <w:rPr>
          <w:rFonts w:cs="Times New Roman"/>
          <w:szCs w:val="24"/>
        </w:rPr>
        <w:t xml:space="preserve">, </w:t>
      </w:r>
      <w:r w:rsidR="003D233F">
        <w:rPr>
          <w:rFonts w:cs="Times New Roman"/>
          <w:szCs w:val="24"/>
        </w:rPr>
        <w:t xml:space="preserve">cíle </w:t>
      </w:r>
      <w:r w:rsidR="003D233F" w:rsidRPr="00D006B2">
        <w:rPr>
          <w:rFonts w:cs="Times New Roman"/>
          <w:szCs w:val="24"/>
        </w:rPr>
        <w:t>a základní klíčová témata</w:t>
      </w:r>
      <w:r w:rsidR="00F71CB7">
        <w:rPr>
          <w:rFonts w:cs="Times New Roman"/>
          <w:szCs w:val="24"/>
        </w:rPr>
        <w:t>,</w:t>
      </w:r>
      <w:r w:rsidR="00F71CB7" w:rsidRPr="00D006B2">
        <w:rPr>
          <w:rFonts w:cs="Times New Roman"/>
          <w:szCs w:val="24"/>
        </w:rPr>
        <w:t xml:space="preserve"> jimž je nutno se </w:t>
      </w:r>
      <w:r w:rsidR="00F71CB7">
        <w:rPr>
          <w:rFonts w:cs="Times New Roman"/>
          <w:szCs w:val="24"/>
        </w:rPr>
        <w:t xml:space="preserve">v budoucím období </w:t>
      </w:r>
      <w:r w:rsidR="00F71CB7" w:rsidRPr="00D006B2">
        <w:rPr>
          <w:rFonts w:cs="Times New Roman"/>
          <w:szCs w:val="24"/>
        </w:rPr>
        <w:t>prioritně věnovat</w:t>
      </w:r>
      <w:r w:rsidR="00F71CB7">
        <w:rPr>
          <w:rFonts w:cs="Times New Roman"/>
          <w:szCs w:val="24"/>
        </w:rPr>
        <w:t>, přínosy a</w:t>
      </w:r>
      <w:r w:rsidR="006F45C4">
        <w:rPr>
          <w:rFonts w:cs="Times New Roman"/>
          <w:szCs w:val="24"/>
        </w:rPr>
        <w:t> </w:t>
      </w:r>
      <w:r w:rsidR="00F71CB7">
        <w:rPr>
          <w:rFonts w:cs="Times New Roman"/>
          <w:szCs w:val="24"/>
        </w:rPr>
        <w:t>rizika navrhovaných řešení a</w:t>
      </w:r>
      <w:r>
        <w:rPr>
          <w:rFonts w:cs="Times New Roman"/>
          <w:szCs w:val="24"/>
        </w:rPr>
        <w:t> </w:t>
      </w:r>
      <w:r w:rsidR="00360BDD">
        <w:t>rámcový</w:t>
      </w:r>
      <w:r w:rsidR="00360BDD">
        <w:rPr>
          <w:rFonts w:cs="Times New Roman"/>
          <w:szCs w:val="24"/>
        </w:rPr>
        <w:t xml:space="preserve"> </w:t>
      </w:r>
      <w:r w:rsidR="004660BB">
        <w:rPr>
          <w:rFonts w:cs="Times New Roman"/>
          <w:szCs w:val="24"/>
        </w:rPr>
        <w:t>způsob</w:t>
      </w:r>
      <w:r w:rsidR="00F71CB7">
        <w:rPr>
          <w:rFonts w:cs="Times New Roman"/>
          <w:szCs w:val="24"/>
        </w:rPr>
        <w:t xml:space="preserve"> budoucí</w:t>
      </w:r>
      <w:r w:rsidR="004660BB">
        <w:rPr>
          <w:rFonts w:cs="Times New Roman"/>
          <w:szCs w:val="24"/>
        </w:rPr>
        <w:t xml:space="preserve"> implementace</w:t>
      </w:r>
      <w:r w:rsidR="00F71CB7">
        <w:rPr>
          <w:rFonts w:cs="Times New Roman"/>
          <w:szCs w:val="24"/>
        </w:rPr>
        <w:t>.</w:t>
      </w:r>
      <w:r w:rsidR="004660BB">
        <w:rPr>
          <w:rFonts w:cs="Times New Roman"/>
          <w:szCs w:val="24"/>
        </w:rPr>
        <w:t xml:space="preserve"> </w:t>
      </w:r>
    </w:p>
    <w:p w:rsidR="003D233F" w:rsidRDefault="004660BB" w:rsidP="009C58B1">
      <w:r>
        <w:rPr>
          <w:rFonts w:cs="Times New Roman"/>
          <w:szCs w:val="24"/>
        </w:rPr>
        <w:t>Z</w:t>
      </w:r>
      <w:r w:rsidRPr="00D006B2">
        <w:rPr>
          <w:rFonts w:cs="Times New Roman"/>
          <w:szCs w:val="24"/>
        </w:rPr>
        <w:t>ákladní klíčová témata</w:t>
      </w:r>
      <w:r w:rsidR="007648DE">
        <w:rPr>
          <w:rFonts w:cs="Times New Roman"/>
          <w:szCs w:val="24"/>
        </w:rPr>
        <w:t xml:space="preserve"> (podrobně viz kapitola 5.2)</w:t>
      </w:r>
      <w:r w:rsidR="009C58B1">
        <w:rPr>
          <w:rFonts w:cs="Times New Roman"/>
          <w:szCs w:val="24"/>
        </w:rPr>
        <w:t xml:space="preserve"> jsou</w:t>
      </w:r>
      <w:r w:rsidR="003D233F">
        <w:rPr>
          <w:rFonts w:cs="Times New Roman"/>
          <w:szCs w:val="24"/>
        </w:rPr>
        <w:t>:</w:t>
      </w:r>
    </w:p>
    <w:p w:rsidR="003D233F" w:rsidRDefault="00F71CB7" w:rsidP="00790390">
      <w:pPr>
        <w:numPr>
          <w:ilvl w:val="0"/>
          <w:numId w:val="11"/>
        </w:numPr>
        <w:spacing w:before="0"/>
        <w:ind w:left="714" w:hanging="357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tvorba nového </w:t>
      </w:r>
      <w:r w:rsidRPr="007648DE">
        <w:rPr>
          <w:rFonts w:cs="Times New Roman"/>
          <w:b/>
          <w:szCs w:val="24"/>
        </w:rPr>
        <w:t>regulačního rámce</w:t>
      </w:r>
      <w:r>
        <w:rPr>
          <w:rFonts w:cs="Times New Roman"/>
          <w:szCs w:val="24"/>
        </w:rPr>
        <w:t xml:space="preserve"> </w:t>
      </w:r>
      <w:r w:rsidR="00E22F41">
        <w:rPr>
          <w:rFonts w:cs="Times New Roman"/>
          <w:szCs w:val="24"/>
        </w:rPr>
        <w:t xml:space="preserve">v  oblasti </w:t>
      </w:r>
      <w:r w:rsidR="00360BDD">
        <w:rPr>
          <w:rFonts w:cs="Times New Roman"/>
          <w:szCs w:val="24"/>
        </w:rPr>
        <w:t xml:space="preserve">prostorových informací </w:t>
      </w:r>
      <w:r>
        <w:rPr>
          <w:rFonts w:cs="Times New Roman"/>
          <w:szCs w:val="24"/>
        </w:rPr>
        <w:t xml:space="preserve">a </w:t>
      </w:r>
      <w:r w:rsidR="00E22F41">
        <w:rPr>
          <w:rFonts w:cs="Times New Roman"/>
          <w:szCs w:val="24"/>
        </w:rPr>
        <w:t>t</w:t>
      </w:r>
      <w:r>
        <w:rPr>
          <w:rFonts w:cs="Times New Roman"/>
          <w:szCs w:val="24"/>
        </w:rPr>
        <w:t>o vytvořením jedné ucelené legislativní normy a navazující související novelizace stávajících norem</w:t>
      </w:r>
      <w:r w:rsidR="006A20A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</w:t>
      </w:r>
    </w:p>
    <w:p w:rsidR="00F74D73" w:rsidRDefault="00ED00C6" w:rsidP="00790390">
      <w:pPr>
        <w:numPr>
          <w:ilvl w:val="0"/>
          <w:numId w:val="11"/>
        </w:numPr>
        <w:spacing w:before="0"/>
        <w:ind w:left="714" w:hanging="357"/>
        <w:rPr>
          <w:rFonts w:cs="Times New Roman"/>
          <w:szCs w:val="24"/>
        </w:rPr>
      </w:pPr>
      <w:r w:rsidRPr="00AA377B">
        <w:rPr>
          <w:rFonts w:cs="Times New Roman"/>
          <w:szCs w:val="24"/>
        </w:rPr>
        <w:t>nastavení</w:t>
      </w:r>
      <w:r w:rsidR="007F6F46">
        <w:rPr>
          <w:rFonts w:cs="Times New Roman"/>
          <w:szCs w:val="24"/>
        </w:rPr>
        <w:t xml:space="preserve"> účinn</w:t>
      </w:r>
      <w:r w:rsidR="00CB6BFE">
        <w:rPr>
          <w:rFonts w:cs="Times New Roman"/>
          <w:szCs w:val="24"/>
        </w:rPr>
        <w:t>é</w:t>
      </w:r>
      <w:r>
        <w:rPr>
          <w:rFonts w:cs="Times New Roman"/>
          <w:b/>
          <w:szCs w:val="24"/>
        </w:rPr>
        <w:t xml:space="preserve"> </w:t>
      </w:r>
      <w:r w:rsidR="00F71CB7" w:rsidRPr="007648DE">
        <w:rPr>
          <w:rFonts w:cs="Times New Roman"/>
          <w:b/>
          <w:szCs w:val="24"/>
        </w:rPr>
        <w:t>k</w:t>
      </w:r>
      <w:r w:rsidR="00F74D73" w:rsidRPr="007648DE">
        <w:rPr>
          <w:rFonts w:cs="Times New Roman"/>
          <w:b/>
          <w:szCs w:val="24"/>
        </w:rPr>
        <w:t>oordinace</w:t>
      </w:r>
      <w:r w:rsidR="00F74D73">
        <w:rPr>
          <w:rFonts w:cs="Times New Roman"/>
          <w:szCs w:val="24"/>
        </w:rPr>
        <w:t xml:space="preserve"> </w:t>
      </w:r>
      <w:r w:rsidR="00F71CB7">
        <w:rPr>
          <w:rFonts w:cs="Times New Roman"/>
          <w:szCs w:val="24"/>
        </w:rPr>
        <w:t>oblasti prostorových informací</w:t>
      </w:r>
      <w:r w:rsidR="00E22F41">
        <w:rPr>
          <w:rFonts w:cs="Times New Roman"/>
          <w:szCs w:val="24"/>
        </w:rPr>
        <w:t xml:space="preserve"> prostřednictvím nově ustaveného vhodného silného nadrezortního koordinačního orgánu,</w:t>
      </w:r>
    </w:p>
    <w:p w:rsidR="003D233F" w:rsidRPr="00124299" w:rsidRDefault="00E22F41" w:rsidP="00790390">
      <w:pPr>
        <w:numPr>
          <w:ilvl w:val="0"/>
          <w:numId w:val="11"/>
        </w:numPr>
        <w:spacing w:before="0"/>
        <w:rPr>
          <w:rFonts w:cs="Times New Roman"/>
          <w:szCs w:val="24"/>
        </w:rPr>
      </w:pPr>
      <w:r>
        <w:rPr>
          <w:rFonts w:cs="Times New Roman"/>
          <w:szCs w:val="24"/>
        </w:rPr>
        <w:t>v</w:t>
      </w:r>
      <w:r w:rsidR="00F71CB7">
        <w:rPr>
          <w:rFonts w:cs="Times New Roman"/>
          <w:szCs w:val="24"/>
        </w:rPr>
        <w:t xml:space="preserve">ytvoření </w:t>
      </w:r>
      <w:r w:rsidR="003D233F" w:rsidRPr="00AA377B">
        <w:rPr>
          <w:rFonts w:cs="Times New Roman"/>
          <w:b/>
          <w:szCs w:val="24"/>
        </w:rPr>
        <w:t>N</w:t>
      </w:r>
      <w:r w:rsidR="003D233F" w:rsidRPr="007648DE">
        <w:rPr>
          <w:rFonts w:cs="Times New Roman"/>
          <w:b/>
          <w:szCs w:val="24"/>
        </w:rPr>
        <w:t>árodní sad</w:t>
      </w:r>
      <w:r w:rsidR="00F71CB7" w:rsidRPr="007648DE">
        <w:rPr>
          <w:rFonts w:cs="Times New Roman"/>
          <w:b/>
          <w:szCs w:val="24"/>
        </w:rPr>
        <w:t>y</w:t>
      </w:r>
      <w:r w:rsidR="003D233F" w:rsidRPr="007648DE">
        <w:rPr>
          <w:rFonts w:cs="Times New Roman"/>
          <w:b/>
          <w:szCs w:val="24"/>
        </w:rPr>
        <w:t xml:space="preserve"> prostorových objektů</w:t>
      </w:r>
      <w:r w:rsidR="003D233F" w:rsidRPr="00124299">
        <w:rPr>
          <w:rFonts w:cs="Times New Roman"/>
          <w:szCs w:val="24"/>
        </w:rPr>
        <w:t xml:space="preserve"> (dále jen „</w:t>
      </w:r>
      <w:r w:rsidR="002F1728">
        <w:rPr>
          <w:rFonts w:cs="Times New Roman"/>
          <w:szCs w:val="24"/>
        </w:rPr>
        <w:t>NASAPO</w:t>
      </w:r>
      <w:r w:rsidR="003D233F" w:rsidRPr="00124299">
        <w:rPr>
          <w:rFonts w:cs="Times New Roman"/>
          <w:szCs w:val="24"/>
        </w:rPr>
        <w:t>“)</w:t>
      </w:r>
      <w:r w:rsidR="00F71CB7">
        <w:rPr>
          <w:rFonts w:cs="Times New Roman"/>
          <w:szCs w:val="24"/>
        </w:rPr>
        <w:t xml:space="preserve">, </w:t>
      </w:r>
      <w:r w:rsidR="009C58B1">
        <w:rPr>
          <w:rFonts w:cs="Times New Roman"/>
          <w:szCs w:val="24"/>
        </w:rPr>
        <w:t>což</w:t>
      </w:r>
      <w:r w:rsidR="00F71CB7">
        <w:rPr>
          <w:rFonts w:cs="Times New Roman"/>
          <w:szCs w:val="24"/>
        </w:rPr>
        <w:t xml:space="preserve"> je </w:t>
      </w:r>
      <w:r w:rsidR="003D233F">
        <w:rPr>
          <w:rFonts w:cs="Times New Roman"/>
          <w:szCs w:val="24"/>
        </w:rPr>
        <w:t>soubor základních a</w:t>
      </w:r>
      <w:r w:rsidR="008B630B">
        <w:rPr>
          <w:rFonts w:cs="Times New Roman"/>
          <w:szCs w:val="24"/>
        </w:rPr>
        <w:t> </w:t>
      </w:r>
      <w:r w:rsidR="003D233F">
        <w:rPr>
          <w:rFonts w:cs="Times New Roman"/>
          <w:szCs w:val="24"/>
        </w:rPr>
        <w:t>vazebních prostorových objektů, na nichž má veřejná správa zájem, s popisem jejich tvorby, aktualizace, správy a závaznosti,</w:t>
      </w:r>
    </w:p>
    <w:p w:rsidR="003D233F" w:rsidRDefault="00E22F41" w:rsidP="00790390">
      <w:pPr>
        <w:numPr>
          <w:ilvl w:val="0"/>
          <w:numId w:val="11"/>
        </w:numPr>
        <w:spacing w:before="0"/>
        <w:rPr>
          <w:rFonts w:cs="Times New Roman"/>
          <w:szCs w:val="24"/>
        </w:rPr>
      </w:pPr>
      <w:r>
        <w:rPr>
          <w:rFonts w:cs="Times New Roman"/>
          <w:szCs w:val="24"/>
        </w:rPr>
        <w:t>v</w:t>
      </w:r>
      <w:r w:rsidR="00F71CB7">
        <w:rPr>
          <w:rFonts w:cs="Times New Roman"/>
          <w:szCs w:val="24"/>
        </w:rPr>
        <w:t>ybudování</w:t>
      </w:r>
      <w:r w:rsidR="003D233F">
        <w:rPr>
          <w:rFonts w:cs="Times New Roman"/>
          <w:szCs w:val="24"/>
        </w:rPr>
        <w:t xml:space="preserve"> </w:t>
      </w:r>
      <w:r w:rsidR="003D233F" w:rsidRPr="007648DE">
        <w:rPr>
          <w:rFonts w:cs="Times New Roman"/>
          <w:b/>
          <w:szCs w:val="24"/>
        </w:rPr>
        <w:t>Národní integrační platform</w:t>
      </w:r>
      <w:r w:rsidR="00F71CB7" w:rsidRPr="007648DE">
        <w:rPr>
          <w:rFonts w:cs="Times New Roman"/>
          <w:b/>
          <w:szCs w:val="24"/>
        </w:rPr>
        <w:t>y</w:t>
      </w:r>
      <w:r w:rsidR="003D233F" w:rsidRPr="007648DE">
        <w:rPr>
          <w:rFonts w:cs="Times New Roman"/>
          <w:b/>
          <w:szCs w:val="24"/>
        </w:rPr>
        <w:t xml:space="preserve"> pro prostorové informace</w:t>
      </w:r>
      <w:r w:rsidR="003D233F" w:rsidRPr="00124299">
        <w:rPr>
          <w:rFonts w:cs="Times New Roman"/>
          <w:szCs w:val="24"/>
        </w:rPr>
        <w:t xml:space="preserve"> (dále jen „NIPPI“)</w:t>
      </w:r>
      <w:r w:rsidR="003D233F">
        <w:rPr>
          <w:rFonts w:cs="Times New Roman"/>
          <w:szCs w:val="24"/>
        </w:rPr>
        <w:t xml:space="preserve"> jako technologick</w:t>
      </w:r>
      <w:r w:rsidR="00F71CB7">
        <w:rPr>
          <w:rFonts w:cs="Times New Roman"/>
          <w:szCs w:val="24"/>
        </w:rPr>
        <w:t>é</w:t>
      </w:r>
      <w:r w:rsidR="003D233F">
        <w:rPr>
          <w:rFonts w:cs="Times New Roman"/>
          <w:szCs w:val="24"/>
        </w:rPr>
        <w:t xml:space="preserve"> platform</w:t>
      </w:r>
      <w:r w:rsidR="00F71CB7">
        <w:rPr>
          <w:rFonts w:cs="Times New Roman"/>
          <w:szCs w:val="24"/>
        </w:rPr>
        <w:t>y</w:t>
      </w:r>
      <w:r w:rsidR="003D233F">
        <w:rPr>
          <w:rFonts w:cs="Times New Roman"/>
          <w:szCs w:val="24"/>
        </w:rPr>
        <w:t xml:space="preserve"> pro integraci a publikování sdílených služeb pro prostorové informace;</w:t>
      </w:r>
      <w:r w:rsidR="00F71CB7">
        <w:rPr>
          <w:rFonts w:cs="Times New Roman"/>
          <w:szCs w:val="24"/>
        </w:rPr>
        <w:t xml:space="preserve"> NIPPI </w:t>
      </w:r>
      <w:r w:rsidR="00552A43">
        <w:rPr>
          <w:rFonts w:cs="Times New Roman"/>
          <w:szCs w:val="24"/>
        </w:rPr>
        <w:t>představuje</w:t>
      </w:r>
      <w:r w:rsidR="003D233F" w:rsidRPr="00124299">
        <w:rPr>
          <w:rFonts w:cs="Times New Roman"/>
          <w:szCs w:val="24"/>
        </w:rPr>
        <w:t xml:space="preserve"> základní</w:t>
      </w:r>
      <w:r w:rsidR="003D233F">
        <w:rPr>
          <w:rFonts w:cs="Times New Roman"/>
          <w:szCs w:val="24"/>
        </w:rPr>
        <w:t xml:space="preserve"> technický</w:t>
      </w:r>
      <w:r w:rsidR="003D233F" w:rsidRPr="00124299">
        <w:rPr>
          <w:rFonts w:cs="Times New Roman"/>
          <w:szCs w:val="24"/>
        </w:rPr>
        <w:t xml:space="preserve"> a procesní</w:t>
      </w:r>
      <w:r w:rsidR="003D233F">
        <w:rPr>
          <w:rFonts w:cs="Times New Roman"/>
          <w:szCs w:val="24"/>
        </w:rPr>
        <w:t xml:space="preserve"> prostřede</w:t>
      </w:r>
      <w:r w:rsidR="003D233F" w:rsidRPr="00124299">
        <w:rPr>
          <w:rFonts w:cs="Times New Roman"/>
          <w:szCs w:val="24"/>
        </w:rPr>
        <w:t>k pro integraci a využívání datového fondu prostorových informací a pro realizaci sdíl</w:t>
      </w:r>
      <w:r w:rsidR="003D233F" w:rsidRPr="00124299">
        <w:rPr>
          <w:rFonts w:cs="Times New Roman"/>
          <w:szCs w:val="24"/>
        </w:rPr>
        <w:t>e</w:t>
      </w:r>
      <w:r w:rsidR="003D233F" w:rsidRPr="00124299">
        <w:rPr>
          <w:rFonts w:cs="Times New Roman"/>
          <w:szCs w:val="24"/>
        </w:rPr>
        <w:t>ných služeb nad takovými informacemi, anebo takovéto informace využívajících</w:t>
      </w:r>
      <w:r w:rsidR="006A20A7">
        <w:rPr>
          <w:rFonts w:cs="Times New Roman"/>
          <w:szCs w:val="24"/>
        </w:rPr>
        <w:t>,</w:t>
      </w:r>
    </w:p>
    <w:p w:rsidR="008B630B" w:rsidRDefault="00CB6BFE" w:rsidP="00790390">
      <w:pPr>
        <w:numPr>
          <w:ilvl w:val="0"/>
          <w:numId w:val="11"/>
        </w:numPr>
        <w:spacing w:before="0"/>
        <w:rPr>
          <w:rFonts w:cs="Times New Roman"/>
          <w:szCs w:val="24"/>
        </w:rPr>
      </w:pPr>
      <w:r>
        <w:rPr>
          <w:rFonts w:cs="Times New Roman"/>
          <w:szCs w:val="24"/>
        </w:rPr>
        <w:t>zajiště</w:t>
      </w:r>
      <w:r w:rsidR="00AA377B" w:rsidRPr="00AA377B">
        <w:rPr>
          <w:rFonts w:cs="Times New Roman"/>
          <w:szCs w:val="24"/>
        </w:rPr>
        <w:t xml:space="preserve">ní </w:t>
      </w:r>
      <w:r w:rsidR="00BE597A" w:rsidRPr="007648DE">
        <w:rPr>
          <w:rFonts w:cs="Times New Roman"/>
          <w:b/>
          <w:szCs w:val="24"/>
        </w:rPr>
        <w:t>s</w:t>
      </w:r>
      <w:r w:rsidR="003D233F" w:rsidRPr="007648DE">
        <w:rPr>
          <w:rFonts w:cs="Times New Roman"/>
          <w:b/>
          <w:szCs w:val="24"/>
        </w:rPr>
        <w:t>luž</w:t>
      </w:r>
      <w:r w:rsidR="00AA377B">
        <w:rPr>
          <w:rFonts w:cs="Times New Roman"/>
          <w:b/>
          <w:szCs w:val="24"/>
        </w:rPr>
        <w:t>e</w:t>
      </w:r>
      <w:r w:rsidR="003D233F" w:rsidRPr="007648DE">
        <w:rPr>
          <w:rFonts w:cs="Times New Roman"/>
          <w:b/>
          <w:szCs w:val="24"/>
        </w:rPr>
        <w:t>b veřejné správy využívající</w:t>
      </w:r>
      <w:r w:rsidR="00AA377B">
        <w:rPr>
          <w:rFonts w:cs="Times New Roman"/>
          <w:b/>
          <w:szCs w:val="24"/>
        </w:rPr>
        <w:t>ch</w:t>
      </w:r>
      <w:r w:rsidR="003D233F" w:rsidRPr="007648DE">
        <w:rPr>
          <w:rFonts w:cs="Times New Roman"/>
          <w:b/>
          <w:szCs w:val="24"/>
        </w:rPr>
        <w:t xml:space="preserve"> prostorové informace</w:t>
      </w:r>
      <w:r w:rsidR="003D233F">
        <w:rPr>
          <w:rFonts w:cs="Times New Roman"/>
          <w:szCs w:val="24"/>
        </w:rPr>
        <w:t>, a to pro všec</w:t>
      </w:r>
      <w:r w:rsidR="003D233F">
        <w:rPr>
          <w:rFonts w:cs="Times New Roman"/>
          <w:szCs w:val="24"/>
        </w:rPr>
        <w:t>h</w:t>
      </w:r>
      <w:r w:rsidR="003D233F">
        <w:rPr>
          <w:rFonts w:cs="Times New Roman"/>
          <w:szCs w:val="24"/>
        </w:rPr>
        <w:t>ny druhy subjektů, s využitím sdílených služeb</w:t>
      </w:r>
      <w:r w:rsidR="00BE597A">
        <w:rPr>
          <w:rFonts w:cs="Times New Roman"/>
          <w:szCs w:val="24"/>
        </w:rPr>
        <w:t>,</w:t>
      </w:r>
      <w:r w:rsidR="003D233F">
        <w:rPr>
          <w:rFonts w:cs="Times New Roman"/>
          <w:szCs w:val="24"/>
        </w:rPr>
        <w:t xml:space="preserve"> </w:t>
      </w:r>
      <w:r w:rsidR="00BE597A">
        <w:rPr>
          <w:rFonts w:cs="Times New Roman"/>
          <w:szCs w:val="24"/>
        </w:rPr>
        <w:t xml:space="preserve">poskytovaných </w:t>
      </w:r>
      <w:r w:rsidR="003D233F">
        <w:rPr>
          <w:rFonts w:cs="Times New Roman"/>
          <w:szCs w:val="24"/>
        </w:rPr>
        <w:t>p</w:t>
      </w:r>
      <w:r w:rsidR="00BE597A">
        <w:rPr>
          <w:rFonts w:cs="Times New Roman"/>
          <w:szCs w:val="24"/>
        </w:rPr>
        <w:t>rost</w:t>
      </w:r>
      <w:r w:rsidR="003D233F">
        <w:rPr>
          <w:rFonts w:cs="Times New Roman"/>
          <w:szCs w:val="24"/>
        </w:rPr>
        <w:t>ře</w:t>
      </w:r>
      <w:r w:rsidR="00BE597A">
        <w:rPr>
          <w:rFonts w:cs="Times New Roman"/>
          <w:szCs w:val="24"/>
        </w:rPr>
        <w:t>dnictvím</w:t>
      </w:r>
      <w:r w:rsidR="003D233F">
        <w:rPr>
          <w:rFonts w:cs="Times New Roman"/>
          <w:szCs w:val="24"/>
        </w:rPr>
        <w:t xml:space="preserve"> NI</w:t>
      </w:r>
      <w:r w:rsidR="003D233F">
        <w:rPr>
          <w:rFonts w:cs="Times New Roman"/>
          <w:szCs w:val="24"/>
        </w:rPr>
        <w:t>P</w:t>
      </w:r>
      <w:r w:rsidR="003D233F">
        <w:rPr>
          <w:rFonts w:cs="Times New Roman"/>
          <w:szCs w:val="24"/>
        </w:rPr>
        <w:t>PI</w:t>
      </w:r>
      <w:r w:rsidR="00BE597A">
        <w:rPr>
          <w:rFonts w:cs="Times New Roman"/>
          <w:szCs w:val="24"/>
        </w:rPr>
        <w:t>,</w:t>
      </w:r>
      <w:r w:rsidR="003D233F">
        <w:rPr>
          <w:rFonts w:cs="Times New Roman"/>
          <w:szCs w:val="24"/>
        </w:rPr>
        <w:t xml:space="preserve"> a objektů </w:t>
      </w:r>
      <w:r w:rsidR="002F1728">
        <w:rPr>
          <w:rFonts w:cs="Times New Roman"/>
          <w:szCs w:val="24"/>
        </w:rPr>
        <w:t>NASAPO</w:t>
      </w:r>
      <w:r w:rsidR="003D233F">
        <w:rPr>
          <w:rFonts w:cs="Times New Roman"/>
          <w:szCs w:val="24"/>
        </w:rPr>
        <w:t xml:space="preserve">, </w:t>
      </w:r>
    </w:p>
    <w:p w:rsidR="003D233F" w:rsidRPr="006A136C" w:rsidRDefault="007648DE" w:rsidP="00790390">
      <w:pPr>
        <w:numPr>
          <w:ilvl w:val="0"/>
          <w:numId w:val="11"/>
        </w:numPr>
        <w:spacing w:before="0"/>
        <w:rPr>
          <w:rFonts w:cs="Times New Roman"/>
          <w:szCs w:val="24"/>
        </w:rPr>
      </w:pPr>
      <w:r w:rsidRPr="007648DE">
        <w:rPr>
          <w:rFonts w:cs="Times New Roman"/>
          <w:szCs w:val="24"/>
        </w:rPr>
        <w:t xml:space="preserve">vybudování </w:t>
      </w:r>
      <w:r w:rsidR="003D233F" w:rsidRPr="007648DE">
        <w:rPr>
          <w:rFonts w:cs="Times New Roman"/>
          <w:b/>
          <w:szCs w:val="24"/>
        </w:rPr>
        <w:t>Národní</w:t>
      </w:r>
      <w:r>
        <w:rPr>
          <w:rFonts w:cs="Times New Roman"/>
          <w:b/>
          <w:szCs w:val="24"/>
        </w:rPr>
        <w:t>ho</w:t>
      </w:r>
      <w:r w:rsidR="003D233F" w:rsidRPr="007648DE">
        <w:rPr>
          <w:rFonts w:cs="Times New Roman"/>
          <w:b/>
          <w:szCs w:val="24"/>
        </w:rPr>
        <w:t xml:space="preserve"> geoportál</w:t>
      </w:r>
      <w:r>
        <w:rPr>
          <w:rFonts w:cs="Times New Roman"/>
          <w:b/>
          <w:szCs w:val="24"/>
        </w:rPr>
        <w:t>u</w:t>
      </w:r>
      <w:r w:rsidR="003D233F" w:rsidRPr="00D006B2">
        <w:rPr>
          <w:rFonts w:cs="Times New Roman"/>
          <w:szCs w:val="24"/>
        </w:rPr>
        <w:t xml:space="preserve"> </w:t>
      </w:r>
      <w:r w:rsidR="00BE597A">
        <w:rPr>
          <w:rFonts w:cs="Times New Roman"/>
          <w:szCs w:val="24"/>
        </w:rPr>
        <w:t>(dále jen „NG“)</w:t>
      </w:r>
      <w:r w:rsidR="003D233F" w:rsidRPr="00D006B2">
        <w:rPr>
          <w:rFonts w:eastAsia="Times New Roman" w:cs="Times New Roman"/>
          <w:szCs w:val="24"/>
        </w:rPr>
        <w:t xml:space="preserve"> j</w:t>
      </w:r>
      <w:r w:rsidR="003D233F">
        <w:rPr>
          <w:rFonts w:eastAsia="Times New Roman" w:cs="Times New Roman"/>
          <w:szCs w:val="24"/>
        </w:rPr>
        <w:t>ako</w:t>
      </w:r>
      <w:r w:rsidR="003D233F" w:rsidRPr="00D006B2">
        <w:rPr>
          <w:rFonts w:eastAsia="Times New Roman" w:cs="Times New Roman"/>
          <w:szCs w:val="24"/>
        </w:rPr>
        <w:t xml:space="preserve"> </w:t>
      </w:r>
      <w:r w:rsidR="00AA377B">
        <w:rPr>
          <w:rFonts w:eastAsia="Times New Roman" w:cs="Times New Roman"/>
          <w:szCs w:val="24"/>
        </w:rPr>
        <w:t xml:space="preserve">ústředního </w:t>
      </w:r>
      <w:r w:rsidR="003D233F" w:rsidRPr="00D006B2">
        <w:rPr>
          <w:rFonts w:eastAsia="Times New Roman" w:cs="Times New Roman"/>
          <w:szCs w:val="24"/>
        </w:rPr>
        <w:t>rozcestník</w:t>
      </w:r>
      <w:r>
        <w:rPr>
          <w:rFonts w:eastAsia="Times New Roman" w:cs="Times New Roman"/>
          <w:szCs w:val="24"/>
        </w:rPr>
        <w:t>u</w:t>
      </w:r>
      <w:r w:rsidR="00360BDD">
        <w:rPr>
          <w:rFonts w:eastAsia="Times New Roman" w:cs="Times New Roman"/>
          <w:szCs w:val="24"/>
        </w:rPr>
        <w:t xml:space="preserve"> </w:t>
      </w:r>
      <w:r w:rsidR="00360BDD" w:rsidRPr="00D006B2">
        <w:rPr>
          <w:rFonts w:eastAsia="Times New Roman" w:cs="Times New Roman"/>
          <w:szCs w:val="24"/>
        </w:rPr>
        <w:t>na dostupné služby a data primárních poskytovatelů</w:t>
      </w:r>
      <w:r w:rsidR="00360BDD">
        <w:rPr>
          <w:rFonts w:eastAsia="Times New Roman" w:cs="Times New Roman"/>
          <w:szCs w:val="24"/>
        </w:rPr>
        <w:t xml:space="preserve"> a současně</w:t>
      </w:r>
      <w:r w:rsidR="006A20A7">
        <w:rPr>
          <w:rFonts w:eastAsia="Times New Roman" w:cs="Times New Roman"/>
          <w:szCs w:val="24"/>
        </w:rPr>
        <w:t xml:space="preserve"> </w:t>
      </w:r>
      <w:r w:rsidR="003D233F" w:rsidRPr="00D006B2">
        <w:rPr>
          <w:rFonts w:eastAsia="Times New Roman" w:cs="Times New Roman"/>
          <w:bCs/>
          <w:szCs w:val="24"/>
        </w:rPr>
        <w:t>rozhraní</w:t>
      </w:r>
      <w:r>
        <w:rPr>
          <w:rFonts w:eastAsia="Times New Roman" w:cs="Times New Roman"/>
          <w:szCs w:val="24"/>
        </w:rPr>
        <w:t xml:space="preserve"> </w:t>
      </w:r>
      <w:r w:rsidR="003D233F" w:rsidRPr="00D006B2">
        <w:rPr>
          <w:rFonts w:eastAsia="Times New Roman" w:cs="Times New Roman"/>
          <w:szCs w:val="24"/>
        </w:rPr>
        <w:t xml:space="preserve">pro </w:t>
      </w:r>
      <w:r w:rsidR="00AA377B">
        <w:rPr>
          <w:rFonts w:eastAsia="Times New Roman" w:cs="Times New Roman"/>
          <w:szCs w:val="24"/>
        </w:rPr>
        <w:t>automatiz</w:t>
      </w:r>
      <w:r w:rsidR="00AA377B">
        <w:rPr>
          <w:rFonts w:eastAsia="Times New Roman" w:cs="Times New Roman"/>
          <w:szCs w:val="24"/>
        </w:rPr>
        <w:t>o</w:t>
      </w:r>
      <w:r w:rsidR="00AA377B">
        <w:rPr>
          <w:rFonts w:eastAsia="Times New Roman" w:cs="Times New Roman"/>
          <w:szCs w:val="24"/>
        </w:rPr>
        <w:t>vaný</w:t>
      </w:r>
      <w:r w:rsidR="00360BDD">
        <w:rPr>
          <w:rFonts w:eastAsia="Times New Roman" w:cs="Times New Roman"/>
          <w:szCs w:val="24"/>
        </w:rPr>
        <w:t xml:space="preserve"> </w:t>
      </w:r>
      <w:r w:rsidR="003D233F" w:rsidRPr="00D006B2">
        <w:rPr>
          <w:rFonts w:eastAsia="Times New Roman" w:cs="Times New Roman"/>
          <w:szCs w:val="24"/>
        </w:rPr>
        <w:t>přístup k </w:t>
      </w:r>
      <w:r w:rsidR="003D233F" w:rsidRPr="00D006B2">
        <w:rPr>
          <w:rFonts w:eastAsia="Times New Roman" w:cs="Times New Roman"/>
          <w:bCs/>
          <w:szCs w:val="24"/>
        </w:rPr>
        <w:t>prostorovým i atributovým datům</w:t>
      </w:r>
      <w:r w:rsidR="003D233F" w:rsidRPr="00D006B2">
        <w:rPr>
          <w:rFonts w:eastAsia="Times New Roman" w:cs="Times New Roman"/>
          <w:szCs w:val="24"/>
        </w:rPr>
        <w:t> pořizovaných a aktualizovaných v</w:t>
      </w:r>
      <w:r w:rsidR="003D233F" w:rsidRPr="00D006B2">
        <w:rPr>
          <w:rFonts w:eastAsia="Times New Roman" w:cs="Times New Roman"/>
          <w:szCs w:val="24"/>
        </w:rPr>
        <w:t>e</w:t>
      </w:r>
      <w:r w:rsidR="003D233F" w:rsidRPr="00D006B2">
        <w:rPr>
          <w:rFonts w:eastAsia="Times New Roman" w:cs="Times New Roman"/>
          <w:szCs w:val="24"/>
        </w:rPr>
        <w:t>řejnou sprá</w:t>
      </w:r>
      <w:r w:rsidR="003D233F">
        <w:rPr>
          <w:rFonts w:eastAsia="Times New Roman" w:cs="Times New Roman"/>
          <w:szCs w:val="24"/>
        </w:rPr>
        <w:t>vou</w:t>
      </w:r>
      <w:r w:rsidR="00360BDD">
        <w:rPr>
          <w:rFonts w:eastAsia="Times New Roman" w:cs="Times New Roman"/>
          <w:szCs w:val="24"/>
        </w:rPr>
        <w:t>.</w:t>
      </w:r>
      <w:r w:rsidR="003D233F" w:rsidRPr="00D006B2">
        <w:rPr>
          <w:rFonts w:eastAsia="Times New Roman" w:cs="Times New Roman"/>
          <w:szCs w:val="24"/>
        </w:rPr>
        <w:t xml:space="preserve"> </w:t>
      </w:r>
      <w:r w:rsidR="00360BDD">
        <w:rPr>
          <w:rFonts w:eastAsia="Times New Roman" w:cs="Times New Roman"/>
          <w:szCs w:val="24"/>
        </w:rPr>
        <w:t>N</w:t>
      </w:r>
      <w:r w:rsidR="00BE597A">
        <w:rPr>
          <w:rFonts w:eastAsia="Times New Roman" w:cs="Times New Roman"/>
          <w:szCs w:val="24"/>
        </w:rPr>
        <w:t xml:space="preserve">adrezortní </w:t>
      </w:r>
      <w:r w:rsidR="003D233F" w:rsidRPr="00D006B2">
        <w:rPr>
          <w:rFonts w:eastAsia="Times New Roman" w:cs="Times New Roman"/>
          <w:szCs w:val="24"/>
        </w:rPr>
        <w:t>N</w:t>
      </w:r>
      <w:r w:rsidR="00BE597A">
        <w:rPr>
          <w:rFonts w:eastAsia="Times New Roman" w:cs="Times New Roman"/>
          <w:szCs w:val="24"/>
        </w:rPr>
        <w:t>G</w:t>
      </w:r>
      <w:r>
        <w:rPr>
          <w:rFonts w:eastAsia="Times New Roman" w:cs="Times New Roman"/>
          <w:szCs w:val="24"/>
        </w:rPr>
        <w:t xml:space="preserve"> bude</w:t>
      </w:r>
      <w:r w:rsidR="003D233F" w:rsidRPr="00D006B2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mimo jiné </w:t>
      </w:r>
      <w:r w:rsidR="003D233F" w:rsidRPr="00D006B2">
        <w:rPr>
          <w:rFonts w:eastAsia="Times New Roman" w:cs="Times New Roman"/>
          <w:szCs w:val="24"/>
        </w:rPr>
        <w:t>publik</w:t>
      </w:r>
      <w:r>
        <w:rPr>
          <w:rFonts w:eastAsia="Times New Roman" w:cs="Times New Roman"/>
          <w:szCs w:val="24"/>
        </w:rPr>
        <w:t>ovat</w:t>
      </w:r>
      <w:r w:rsidR="003D233F" w:rsidRPr="00D006B2">
        <w:rPr>
          <w:rFonts w:eastAsia="Times New Roman" w:cs="Times New Roman"/>
          <w:szCs w:val="24"/>
        </w:rPr>
        <w:t xml:space="preserve"> katalog prostorových dat a</w:t>
      </w:r>
      <w:r w:rsidR="008B630B">
        <w:rPr>
          <w:rFonts w:eastAsia="Times New Roman" w:cs="Times New Roman"/>
          <w:szCs w:val="24"/>
        </w:rPr>
        <w:t> </w:t>
      </w:r>
      <w:r w:rsidR="003D233F" w:rsidRPr="00D006B2">
        <w:rPr>
          <w:rFonts w:eastAsia="Times New Roman" w:cs="Times New Roman"/>
          <w:szCs w:val="24"/>
        </w:rPr>
        <w:t xml:space="preserve">služeb </w:t>
      </w:r>
      <w:r w:rsidR="003D233F">
        <w:rPr>
          <w:rFonts w:eastAsia="Times New Roman" w:cs="Times New Roman"/>
          <w:szCs w:val="24"/>
        </w:rPr>
        <w:t>nad prostorovými daty</w:t>
      </w:r>
      <w:r w:rsidR="003D233F">
        <w:rPr>
          <w:rFonts w:cs="Times New Roman"/>
          <w:szCs w:val="24"/>
        </w:rPr>
        <w:t>,</w:t>
      </w:r>
    </w:p>
    <w:p w:rsidR="007648DE" w:rsidRPr="006A20A7" w:rsidRDefault="007648DE" w:rsidP="00790390">
      <w:pPr>
        <w:numPr>
          <w:ilvl w:val="0"/>
          <w:numId w:val="11"/>
        </w:numPr>
        <w:spacing w:before="0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="003D233F">
        <w:rPr>
          <w:rFonts w:cs="Times New Roman"/>
          <w:szCs w:val="24"/>
        </w:rPr>
        <w:t xml:space="preserve">ublikování prostorových dat a služeb nad prostorovými daty </w:t>
      </w:r>
      <w:r w:rsidR="000E7343">
        <w:rPr>
          <w:rFonts w:cs="Times New Roman"/>
          <w:szCs w:val="24"/>
        </w:rPr>
        <w:t xml:space="preserve">respektujících </w:t>
      </w:r>
      <w:r w:rsidR="003D233F" w:rsidRPr="007648DE">
        <w:rPr>
          <w:rFonts w:cs="Times New Roman"/>
          <w:b/>
          <w:szCs w:val="24"/>
        </w:rPr>
        <w:t>mezin</w:t>
      </w:r>
      <w:r w:rsidR="003D233F" w:rsidRPr="007648DE">
        <w:rPr>
          <w:rFonts w:cs="Times New Roman"/>
          <w:b/>
          <w:szCs w:val="24"/>
        </w:rPr>
        <w:t>á</w:t>
      </w:r>
      <w:r w:rsidR="000E7343">
        <w:rPr>
          <w:rFonts w:cs="Times New Roman"/>
          <w:b/>
          <w:szCs w:val="24"/>
        </w:rPr>
        <w:t>rodní</w:t>
      </w:r>
      <w:r w:rsidR="003D233F" w:rsidRPr="007648DE">
        <w:rPr>
          <w:rFonts w:cs="Times New Roman"/>
          <w:b/>
          <w:szCs w:val="24"/>
        </w:rPr>
        <w:t xml:space="preserve"> závazk</w:t>
      </w:r>
      <w:r w:rsidR="000E7343">
        <w:rPr>
          <w:rFonts w:cs="Times New Roman"/>
          <w:b/>
          <w:szCs w:val="24"/>
        </w:rPr>
        <w:t>y</w:t>
      </w:r>
      <w:r w:rsidR="003D233F" w:rsidRPr="007648DE">
        <w:rPr>
          <w:rFonts w:cs="Times New Roman"/>
          <w:b/>
          <w:szCs w:val="24"/>
        </w:rPr>
        <w:t xml:space="preserve"> a princip</w:t>
      </w:r>
      <w:r w:rsidR="000E7343">
        <w:rPr>
          <w:rFonts w:cs="Times New Roman"/>
          <w:b/>
          <w:szCs w:val="24"/>
        </w:rPr>
        <w:t>y</w:t>
      </w:r>
      <w:r w:rsidR="003D233F" w:rsidRPr="007648DE">
        <w:rPr>
          <w:rFonts w:cs="Times New Roman"/>
          <w:b/>
          <w:szCs w:val="24"/>
        </w:rPr>
        <w:t xml:space="preserve"> interoperability</w:t>
      </w:r>
      <w:r>
        <w:rPr>
          <w:rFonts w:cs="Times New Roman"/>
          <w:b/>
          <w:szCs w:val="24"/>
        </w:rPr>
        <w:t xml:space="preserve">, </w:t>
      </w:r>
    </w:p>
    <w:p w:rsidR="007648DE" w:rsidRPr="006A20A7" w:rsidRDefault="007648DE" w:rsidP="00790390">
      <w:pPr>
        <w:numPr>
          <w:ilvl w:val="0"/>
          <w:numId w:val="11"/>
        </w:numPr>
        <w:spacing w:before="0"/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6A20A7">
        <w:rPr>
          <w:rFonts w:cs="Times New Roman"/>
          <w:szCs w:val="24"/>
        </w:rPr>
        <w:t>ubli</w:t>
      </w:r>
      <w:r>
        <w:rPr>
          <w:rFonts w:cs="Times New Roman"/>
          <w:szCs w:val="24"/>
        </w:rPr>
        <w:t>kován</w:t>
      </w:r>
      <w:r w:rsidR="006A20A7">
        <w:rPr>
          <w:rFonts w:cs="Times New Roman"/>
          <w:szCs w:val="24"/>
        </w:rPr>
        <w:t>í</w:t>
      </w:r>
      <w:r>
        <w:rPr>
          <w:rFonts w:cs="Times New Roman"/>
          <w:szCs w:val="24"/>
        </w:rPr>
        <w:t xml:space="preserve"> </w:t>
      </w:r>
      <w:r w:rsidRPr="006A20A7">
        <w:rPr>
          <w:rFonts w:cs="Times New Roman"/>
          <w:b/>
          <w:szCs w:val="24"/>
        </w:rPr>
        <w:t>otevřených</w:t>
      </w:r>
      <w:r>
        <w:rPr>
          <w:rFonts w:cs="Times New Roman"/>
          <w:szCs w:val="24"/>
        </w:rPr>
        <w:t xml:space="preserve"> prostorových </w:t>
      </w:r>
      <w:r w:rsidRPr="006A20A7">
        <w:rPr>
          <w:rFonts w:cs="Times New Roman"/>
          <w:b/>
          <w:szCs w:val="24"/>
        </w:rPr>
        <w:t xml:space="preserve">dat </w:t>
      </w:r>
      <w:r>
        <w:rPr>
          <w:rFonts w:cs="Times New Roman"/>
          <w:szCs w:val="24"/>
        </w:rPr>
        <w:t xml:space="preserve">a otevřených </w:t>
      </w:r>
      <w:r w:rsidRPr="006A20A7">
        <w:rPr>
          <w:rFonts w:cs="Times New Roman"/>
          <w:b/>
          <w:szCs w:val="24"/>
        </w:rPr>
        <w:t>služeb</w:t>
      </w:r>
      <w:r>
        <w:rPr>
          <w:rFonts w:cs="Times New Roman"/>
          <w:szCs w:val="24"/>
        </w:rPr>
        <w:t xml:space="preserve"> nad prostorovými daty</w:t>
      </w:r>
    </w:p>
    <w:p w:rsidR="003D233F" w:rsidRPr="007648DE" w:rsidRDefault="00AA377B" w:rsidP="00790390">
      <w:pPr>
        <w:numPr>
          <w:ilvl w:val="0"/>
          <w:numId w:val="11"/>
        </w:numPr>
        <w:spacing w:before="0"/>
        <w:rPr>
          <w:rFonts w:cs="Times New Roman"/>
          <w:szCs w:val="24"/>
        </w:rPr>
      </w:pPr>
      <w:r>
        <w:rPr>
          <w:rFonts w:cs="Times New Roman"/>
          <w:szCs w:val="24"/>
        </w:rPr>
        <w:t>zajištění</w:t>
      </w:r>
      <w:r w:rsidR="00211DDF">
        <w:rPr>
          <w:rFonts w:cs="Times New Roman"/>
          <w:szCs w:val="24"/>
        </w:rPr>
        <w:t xml:space="preserve"> </w:t>
      </w:r>
      <w:r w:rsidR="00360BDD">
        <w:rPr>
          <w:rFonts w:cs="Times New Roman"/>
          <w:szCs w:val="24"/>
        </w:rPr>
        <w:t>systematick</w:t>
      </w:r>
      <w:r>
        <w:rPr>
          <w:rFonts w:cs="Times New Roman"/>
          <w:szCs w:val="24"/>
        </w:rPr>
        <w:t>ého</w:t>
      </w:r>
      <w:r w:rsidR="00360BDD">
        <w:rPr>
          <w:rFonts w:cs="Times New Roman"/>
          <w:szCs w:val="24"/>
        </w:rPr>
        <w:t xml:space="preserve"> a soustavn</w:t>
      </w:r>
      <w:r>
        <w:rPr>
          <w:rFonts w:cs="Times New Roman"/>
          <w:szCs w:val="24"/>
        </w:rPr>
        <w:t>ého</w:t>
      </w:r>
      <w:r w:rsidR="00360BDD">
        <w:rPr>
          <w:rFonts w:cs="Times New Roman"/>
          <w:szCs w:val="24"/>
        </w:rPr>
        <w:t xml:space="preserve"> </w:t>
      </w:r>
      <w:r w:rsidR="00360BDD" w:rsidRPr="00AA377B">
        <w:rPr>
          <w:rFonts w:cs="Times New Roman"/>
          <w:b/>
          <w:szCs w:val="24"/>
        </w:rPr>
        <w:t>rozvoj</w:t>
      </w:r>
      <w:r w:rsidRPr="00AA377B">
        <w:rPr>
          <w:rFonts w:cs="Times New Roman"/>
          <w:b/>
          <w:szCs w:val="24"/>
        </w:rPr>
        <w:t>e</w:t>
      </w:r>
      <w:r w:rsidR="00360BDD" w:rsidRPr="00AA377B">
        <w:rPr>
          <w:rFonts w:cs="Times New Roman"/>
          <w:b/>
          <w:szCs w:val="24"/>
        </w:rPr>
        <w:t xml:space="preserve"> </w:t>
      </w:r>
      <w:r w:rsidR="007648DE" w:rsidRPr="00AA377B">
        <w:rPr>
          <w:rFonts w:cs="Times New Roman"/>
          <w:b/>
          <w:szCs w:val="24"/>
        </w:rPr>
        <w:t>lidsk</w:t>
      </w:r>
      <w:r w:rsidR="00360BDD" w:rsidRPr="00AA377B">
        <w:rPr>
          <w:rFonts w:cs="Times New Roman"/>
          <w:b/>
          <w:szCs w:val="24"/>
        </w:rPr>
        <w:t>ých</w:t>
      </w:r>
      <w:r w:rsidR="007648DE" w:rsidRPr="00AA377B">
        <w:rPr>
          <w:rFonts w:cs="Times New Roman"/>
          <w:b/>
          <w:szCs w:val="24"/>
        </w:rPr>
        <w:t xml:space="preserve"> zdroj</w:t>
      </w:r>
      <w:r w:rsidR="00360BDD" w:rsidRPr="00AA377B">
        <w:rPr>
          <w:rFonts w:cs="Times New Roman"/>
          <w:b/>
          <w:szCs w:val="24"/>
        </w:rPr>
        <w:t>ů</w:t>
      </w:r>
      <w:r w:rsidR="007648DE" w:rsidRPr="00AA377B">
        <w:rPr>
          <w:rFonts w:cs="Times New Roman"/>
          <w:b/>
          <w:szCs w:val="24"/>
        </w:rPr>
        <w:t xml:space="preserve"> a vzdělávání</w:t>
      </w:r>
      <w:r w:rsidR="007648DE">
        <w:rPr>
          <w:rFonts w:cs="Times New Roman"/>
          <w:szCs w:val="24"/>
        </w:rPr>
        <w:t xml:space="preserve"> v oblasti prostorových informací</w:t>
      </w:r>
      <w:r w:rsidR="003D233F" w:rsidRPr="007648DE">
        <w:rPr>
          <w:rFonts w:cs="Times New Roman"/>
          <w:szCs w:val="24"/>
        </w:rPr>
        <w:t>.</w:t>
      </w:r>
    </w:p>
    <w:p w:rsidR="00693B2F" w:rsidRDefault="00693B2F" w:rsidP="00D6703B">
      <w:pPr>
        <w:pStyle w:val="Nadpis2"/>
      </w:pPr>
      <w:r w:rsidRPr="00693B2F">
        <w:t>Použití dokumentu</w:t>
      </w:r>
    </w:p>
    <w:p w:rsidR="003D233F" w:rsidRPr="00124299" w:rsidRDefault="005D638E" w:rsidP="003D233F">
      <w:pPr>
        <w:spacing w:before="100" w:beforeAutospacing="1" w:after="100" w:afterAutospacing="1"/>
        <w:rPr>
          <w:rFonts w:cs="Times New Roman"/>
          <w:szCs w:val="24"/>
        </w:rPr>
      </w:pPr>
      <w:r>
        <w:rPr>
          <w:rFonts w:cs="Times New Roman"/>
          <w:szCs w:val="24"/>
        </w:rPr>
        <w:t>Strategie</w:t>
      </w:r>
      <w:r w:rsidR="003D233F" w:rsidRPr="00124299">
        <w:rPr>
          <w:rFonts w:cs="Times New Roman"/>
          <w:szCs w:val="24"/>
        </w:rPr>
        <w:t xml:space="preserve"> stanovuje základní směřování České republiky v oblasti prostorových informací ve vazbě na ostatní rozvojové strategie státu</w:t>
      </w:r>
      <w:r w:rsidR="003D233F">
        <w:rPr>
          <w:rFonts w:cs="Times New Roman"/>
          <w:szCs w:val="24"/>
        </w:rPr>
        <w:t xml:space="preserve"> (stručně zmíněné v kapitole 1.3)</w:t>
      </w:r>
      <w:r w:rsidR="003D233F" w:rsidRPr="00124299">
        <w:rPr>
          <w:rFonts w:cs="Times New Roman"/>
          <w:szCs w:val="24"/>
        </w:rPr>
        <w:t xml:space="preserve"> a vymezuje obecný strategický rámec pro nastavení a dosažení koordinovaného rozvoje národní infrastruktury pro prostorové in</w:t>
      </w:r>
      <w:r w:rsidR="003D233F">
        <w:rPr>
          <w:rFonts w:cs="Times New Roman"/>
          <w:szCs w:val="24"/>
        </w:rPr>
        <w:t xml:space="preserve">formace. </w:t>
      </w:r>
      <w:r>
        <w:rPr>
          <w:rFonts w:cs="Times New Roman"/>
          <w:szCs w:val="24"/>
        </w:rPr>
        <w:t>Strategie</w:t>
      </w:r>
      <w:r w:rsidR="003D233F">
        <w:rPr>
          <w:rFonts w:cs="Times New Roman"/>
          <w:szCs w:val="24"/>
        </w:rPr>
        <w:t xml:space="preserve"> rozvíjí a implementuje principy rozvoje eGovernmentu do oblasti prostorových informací.</w:t>
      </w:r>
      <w:r w:rsidR="00BE597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Strategie</w:t>
      </w:r>
      <w:r w:rsidR="00BE597A">
        <w:rPr>
          <w:rFonts w:cs="Times New Roman"/>
          <w:szCs w:val="24"/>
        </w:rPr>
        <w:t xml:space="preserve"> bude následována Akčním plánem, který bude obs</w:t>
      </w:r>
      <w:r w:rsidR="00BE597A">
        <w:rPr>
          <w:rFonts w:cs="Times New Roman"/>
          <w:szCs w:val="24"/>
        </w:rPr>
        <w:t>a</w:t>
      </w:r>
      <w:r w:rsidR="00BE597A">
        <w:rPr>
          <w:rFonts w:cs="Times New Roman"/>
          <w:szCs w:val="24"/>
        </w:rPr>
        <w:t xml:space="preserve">hovat </w:t>
      </w:r>
      <w:r>
        <w:rPr>
          <w:rFonts w:cs="Times New Roman"/>
          <w:szCs w:val="24"/>
        </w:rPr>
        <w:t xml:space="preserve">návrh </w:t>
      </w:r>
      <w:r w:rsidR="00BE597A">
        <w:rPr>
          <w:rFonts w:cs="Times New Roman"/>
          <w:szCs w:val="24"/>
        </w:rPr>
        <w:t>konkrétní</w:t>
      </w:r>
      <w:r>
        <w:rPr>
          <w:rFonts w:cs="Times New Roman"/>
          <w:szCs w:val="24"/>
        </w:rPr>
        <w:t>ch</w:t>
      </w:r>
      <w:r w:rsidR="00BE597A">
        <w:rPr>
          <w:rFonts w:cs="Times New Roman"/>
          <w:szCs w:val="24"/>
        </w:rPr>
        <w:t xml:space="preserve"> opatření k dosažení v Strategii vytý</w:t>
      </w:r>
      <w:r>
        <w:rPr>
          <w:rFonts w:cs="Times New Roman"/>
          <w:szCs w:val="24"/>
        </w:rPr>
        <w:t>č</w:t>
      </w:r>
      <w:r w:rsidR="00BE597A">
        <w:rPr>
          <w:rFonts w:cs="Times New Roman"/>
          <w:szCs w:val="24"/>
        </w:rPr>
        <w:t>ených cílů a to ve vzájemných časových vazbách, s odhady potřebných finančních zdrojů a se stanovením gestora za jejich realizaci</w:t>
      </w:r>
      <w:r>
        <w:rPr>
          <w:rFonts w:cs="Times New Roman"/>
          <w:szCs w:val="24"/>
        </w:rPr>
        <w:t xml:space="preserve"> (podrobně viz kapitola 7. Implementace strategie</w:t>
      </w:r>
      <w:r w:rsidR="00B3404B">
        <w:rPr>
          <w:rFonts w:cs="Times New Roman"/>
          <w:szCs w:val="24"/>
        </w:rPr>
        <w:t>)</w:t>
      </w:r>
      <w:r w:rsidR="00BE597A">
        <w:rPr>
          <w:rFonts w:cs="Times New Roman"/>
          <w:szCs w:val="24"/>
        </w:rPr>
        <w:t xml:space="preserve">. </w:t>
      </w:r>
    </w:p>
    <w:p w:rsidR="003D233F" w:rsidRPr="00124299" w:rsidRDefault="005D638E" w:rsidP="003D233F">
      <w:pPr>
        <w:spacing w:before="100" w:beforeAutospacing="1" w:after="100" w:afterAutospacing="1"/>
        <w:rPr>
          <w:rFonts w:cs="Times New Roman"/>
          <w:szCs w:val="24"/>
        </w:rPr>
      </w:pPr>
      <w:r>
        <w:rPr>
          <w:rFonts w:cs="Times New Roman"/>
          <w:szCs w:val="24"/>
        </w:rPr>
        <w:t>Strategie</w:t>
      </w:r>
      <w:r w:rsidR="003D233F" w:rsidRPr="00124299">
        <w:rPr>
          <w:rFonts w:cs="Times New Roman"/>
          <w:szCs w:val="24"/>
        </w:rPr>
        <w:t xml:space="preserve"> </w:t>
      </w:r>
      <w:r w:rsidR="003D233F">
        <w:rPr>
          <w:rFonts w:cs="Times New Roman"/>
          <w:szCs w:val="24"/>
        </w:rPr>
        <w:t>bude</w:t>
      </w:r>
      <w:r w:rsidR="003D233F" w:rsidRPr="00124299">
        <w:rPr>
          <w:rFonts w:cs="Times New Roman"/>
          <w:szCs w:val="24"/>
        </w:rPr>
        <w:t xml:space="preserve"> součástí podkladů České republiky ke kondicionalitám pro čerpání finančních prostředků EU na období 2014-2020 pro financování </w:t>
      </w:r>
      <w:r w:rsidR="003D233F">
        <w:rPr>
          <w:rFonts w:cs="Times New Roman"/>
          <w:szCs w:val="24"/>
        </w:rPr>
        <w:t xml:space="preserve">rozvojových </w:t>
      </w:r>
      <w:r w:rsidR="003D233F" w:rsidRPr="00124299">
        <w:rPr>
          <w:rFonts w:cs="Times New Roman"/>
          <w:szCs w:val="24"/>
        </w:rPr>
        <w:t>aktivit v oblasti prostor</w:t>
      </w:r>
      <w:r w:rsidR="003D233F" w:rsidRPr="00124299">
        <w:rPr>
          <w:rFonts w:cs="Times New Roman"/>
          <w:szCs w:val="24"/>
        </w:rPr>
        <w:t>o</w:t>
      </w:r>
      <w:r w:rsidR="003D233F" w:rsidRPr="00124299">
        <w:rPr>
          <w:rFonts w:cs="Times New Roman"/>
          <w:szCs w:val="24"/>
        </w:rPr>
        <w:t>vých informací.</w:t>
      </w:r>
    </w:p>
    <w:p w:rsidR="00693B2F" w:rsidRDefault="00693B2F" w:rsidP="00D6703B">
      <w:pPr>
        <w:pStyle w:val="Nadpis2"/>
      </w:pPr>
      <w:r w:rsidRPr="00693B2F">
        <w:t>Vazba na další strategické dokumenty</w:t>
      </w:r>
    </w:p>
    <w:p w:rsidR="008F3061" w:rsidRDefault="00FA7161" w:rsidP="009428A9">
      <w:pPr>
        <w:pStyle w:val="Nadpis"/>
        <w:spacing w:before="2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Česká republika zlepšuje veřejnou správ</w:t>
      </w:r>
      <w:r w:rsidR="00090D50">
        <w:rPr>
          <w:rFonts w:ascii="Times New Roman" w:hAnsi="Times New Roman" w:cs="Times New Roman"/>
          <w:b w:val="0"/>
          <w:color w:val="auto"/>
          <w:sz w:val="24"/>
          <w:szCs w:val="24"/>
        </w:rPr>
        <w:t>u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 veřejné služby koordinovaným způsobem na z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á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kladě strategie </w:t>
      </w:r>
      <w:r w:rsidRPr="008F3061">
        <w:rPr>
          <w:rFonts w:ascii="Times New Roman" w:hAnsi="Times New Roman" w:cs="Times New Roman"/>
          <w:b w:val="0"/>
          <w:color w:val="auto"/>
          <w:sz w:val="24"/>
          <w:szCs w:val="24"/>
        </w:rPr>
        <w:t>Efektivní veřejná správ</w:t>
      </w:r>
      <w:r w:rsidR="00090D50">
        <w:rPr>
          <w:rFonts w:ascii="Times New Roman" w:hAnsi="Times New Roman" w:cs="Times New Roman"/>
          <w:b w:val="0"/>
          <w:color w:val="auto"/>
          <w:sz w:val="24"/>
          <w:szCs w:val="24"/>
        </w:rPr>
        <w:t>a</w:t>
      </w:r>
      <w:r w:rsidRPr="008F306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 přátelské veřejné služby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Pr="00FA7161">
        <w:rPr>
          <w:rFonts w:ascii="Times New Roman" w:hAnsi="Times New Roman" w:cs="Times New Roman"/>
          <w:b w:val="0"/>
          <w:color w:val="auto"/>
          <w:sz w:val="24"/>
          <w:szCs w:val="24"/>
        </w:rPr>
        <w:t>Strategie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realizace Smart Administration v období 2007 – 2015), která určuje základní směřování české veřejné správy a vymezuje rámec pro </w:t>
      </w:r>
      <w:r w:rsidR="008F306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využití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inovativních postupů </w:t>
      </w:r>
      <w:r w:rsidR="008F3061">
        <w:rPr>
          <w:rFonts w:ascii="Times New Roman" w:hAnsi="Times New Roman" w:cs="Times New Roman"/>
          <w:b w:val="0"/>
          <w:color w:val="auto"/>
          <w:sz w:val="24"/>
          <w:szCs w:val="24"/>
        </w:rPr>
        <w:t>k dosažení stanovených cílů. Na tuto rá</w:t>
      </w:r>
      <w:r w:rsidR="008F3061">
        <w:rPr>
          <w:rFonts w:ascii="Times New Roman" w:hAnsi="Times New Roman" w:cs="Times New Roman"/>
          <w:b w:val="0"/>
          <w:color w:val="auto"/>
          <w:sz w:val="24"/>
          <w:szCs w:val="24"/>
        </w:rPr>
        <w:t>m</w:t>
      </w:r>
      <w:r w:rsidR="008F306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covou strategii navazují </w:t>
      </w:r>
      <w:r w:rsidR="008F3061" w:rsidRPr="008F3061">
        <w:rPr>
          <w:rFonts w:ascii="Times New Roman" w:hAnsi="Times New Roman" w:cs="Times New Roman"/>
          <w:b w:val="0"/>
          <w:color w:val="auto"/>
          <w:sz w:val="24"/>
          <w:szCs w:val="24"/>
        </w:rPr>
        <w:t>dva základní dokumenty, které řeší rozvoj veřejné správy a elektr</w:t>
      </w:r>
      <w:r w:rsidR="008F3061" w:rsidRPr="008F3061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="008F3061" w:rsidRPr="008F306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nického vládnutí v období po roce 2014, a to Strategický rámec rozvoje veřejné správy 2014+ a Strategický rámec rozvoje eGovernmentu 2014+</w:t>
      </w:r>
      <w:r w:rsidR="008F306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</w:p>
    <w:p w:rsidR="009428A9" w:rsidRDefault="009428A9" w:rsidP="009428A9">
      <w:pPr>
        <w:pStyle w:val="Nadpis"/>
        <w:spacing w:before="2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Základní obecný rámec pro Strategii představuje dokument Strategie mezinárodní konkure</w:t>
      </w: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ceschopnosti České republiky pro období 2012 až 2020 (gesce Ministerstvo průmyslu a</w:t>
      </w:r>
      <w:r w:rsidRPr="001E6C7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</w:t>
      </w:r>
      <w:r w:rsidRPr="001E6C77">
        <w:rPr>
          <w:rFonts w:ascii="Times New Roman" w:hAnsi="Times New Roman" w:cs="Times New Roman"/>
          <w:b w:val="0"/>
          <w:color w:val="auto"/>
          <w:sz w:val="24"/>
          <w:szCs w:val="24"/>
        </w:rPr>
        <w:t>b</w:t>
      </w:r>
      <w:r w:rsidRPr="001E6C77">
        <w:rPr>
          <w:rFonts w:ascii="Times New Roman" w:hAnsi="Times New Roman" w:cs="Times New Roman"/>
          <w:b w:val="0"/>
          <w:color w:val="auto"/>
          <w:sz w:val="24"/>
          <w:szCs w:val="24"/>
        </w:rPr>
        <w:t>chodu)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1E6C7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Dokument charakterizuje záměr vlády začlenit do roku 2020 Českou republiku mezi 20 nejvíce konkurenceschopných zemí světa. Mezi hlavní pilíře konkurenceschopnosti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patří </w:t>
      </w:r>
      <w:r w:rsidRPr="001E6C77">
        <w:rPr>
          <w:rFonts w:ascii="Times New Roman" w:hAnsi="Times New Roman" w:cs="Times New Roman"/>
          <w:b w:val="0"/>
          <w:color w:val="auto"/>
          <w:sz w:val="24"/>
          <w:szCs w:val="24"/>
        </w:rPr>
        <w:t>Instituce, Infrastruktura a Inovace.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Strategie navazuje v oblasti prostorových informací zejména na projekt Efektivní veřejná správa, kdy c</w:t>
      </w:r>
      <w:r w:rsidRPr="0033718F">
        <w:rPr>
          <w:rFonts w:ascii="Times New Roman" w:hAnsi="Times New Roman" w:cs="Times New Roman"/>
          <w:b w:val="0"/>
          <w:color w:val="auto"/>
          <w:sz w:val="24"/>
          <w:szCs w:val="24"/>
        </w:rPr>
        <w:t>ílem je i případné odstranění dublujících se či zbytečných agend, návrhy, jak využít sdílená centra ke zvýšení efektivity a dosažení úspor ve ve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řejné sféře, s tím, že a</w:t>
      </w:r>
      <w:r w:rsidRPr="0033718F">
        <w:rPr>
          <w:rFonts w:ascii="Times New Roman" w:hAnsi="Times New Roman" w:cs="Times New Roman"/>
          <w:b w:val="0"/>
          <w:color w:val="auto"/>
          <w:sz w:val="24"/>
          <w:szCs w:val="24"/>
        </w:rPr>
        <w:t>gendy veřejné správy a stanovení jejich standardu specifikují p</w:t>
      </w:r>
      <w:r w:rsidRPr="0033718F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Pr="0033718F">
        <w:rPr>
          <w:rFonts w:ascii="Times New Roman" w:hAnsi="Times New Roman" w:cs="Times New Roman"/>
          <w:b w:val="0"/>
          <w:color w:val="auto"/>
          <w:sz w:val="24"/>
          <w:szCs w:val="24"/>
        </w:rPr>
        <w:t>žadavky na prostorové informace (datové sady) a služby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nad prostorovými informacemi. Vazba je zřejmá i v případě projektu Z</w:t>
      </w:r>
      <w:r w:rsidRPr="0033718F">
        <w:rPr>
          <w:rFonts w:ascii="Times New Roman" w:hAnsi="Times New Roman" w:cs="Times New Roman"/>
          <w:b w:val="0"/>
          <w:color w:val="auto"/>
          <w:sz w:val="24"/>
          <w:szCs w:val="24"/>
        </w:rPr>
        <w:t>jednodušení přístupu ke službám veřejné správy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kdy v rámci Strategie je sledován v tomto dokumentu vytýčený trend – v </w:t>
      </w:r>
      <w:r w:rsidRPr="00282861">
        <w:rPr>
          <w:rFonts w:ascii="Times New Roman" w:hAnsi="Times New Roman" w:cs="Times New Roman"/>
          <w:b w:val="0"/>
          <w:color w:val="auto"/>
          <w:sz w:val="24"/>
          <w:szCs w:val="24"/>
        </w:rPr>
        <w:t>maximální možné míře usnadnit veřejnosti přístup ke službám veřejné správy a k informacím poskytovaným veřejnou správou.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V rámci implementace státní politiky Digitální Česko je cílem vybudování 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registru pasivní infrastruktury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při efektivním využití 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stávajících dostupných informací o prvcích p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a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sivní infrastruktury, které podle potřeby budou doplněny a následně veřejně sdíleny.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Vzhl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e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dem k obsahu a procesům sběru dat existuje úzká vazba na projekt Digitální technická mapa v rámci projektu Digitální mapa veřejné správy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Strategie usiluje o zajištění koordinovaného rozvoje v této oblasti, zejména při budování navrhované národní sady prostorových objektů, kde je nezbytná spolupráce komerční a veřejné</w:t>
      </w:r>
      <w:r>
        <w:rPr>
          <w:rFonts w:cs="Times New Roman"/>
          <w:szCs w:val="24"/>
        </w:rPr>
        <w:t xml:space="preserve"> </w:t>
      </w:r>
      <w:r w:rsidRPr="00C741A7">
        <w:rPr>
          <w:rFonts w:ascii="Times New Roman" w:hAnsi="Times New Roman" w:cs="Times New Roman"/>
          <w:b w:val="0"/>
          <w:color w:val="auto"/>
          <w:sz w:val="24"/>
          <w:szCs w:val="24"/>
        </w:rPr>
        <w:t>sféry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9428A9" w:rsidRPr="001E6C77" w:rsidRDefault="009428A9" w:rsidP="009428A9">
      <w:pPr>
        <w:rPr>
          <w:rFonts w:cs="Times New Roman"/>
          <w:b/>
          <w:szCs w:val="24"/>
        </w:rPr>
      </w:pPr>
      <w:r w:rsidRPr="00451E07">
        <w:rPr>
          <w:rFonts w:cs="Times New Roman"/>
          <w:szCs w:val="24"/>
        </w:rPr>
        <w:t>Rovněž dokument Příprava programového období 2014 + v oblasti ICT pro veřejnou správu, vypracovaný ve spolupráci Rady vlády pro konkurenceschopnost a informační společnost a</w:t>
      </w:r>
      <w:r w:rsidR="00790390">
        <w:rPr>
          <w:rFonts w:cs="Times New Roman"/>
          <w:szCs w:val="24"/>
        </w:rPr>
        <w:t> </w:t>
      </w:r>
      <w:r w:rsidRPr="00451E07">
        <w:rPr>
          <w:rFonts w:cs="Times New Roman"/>
          <w:szCs w:val="24"/>
        </w:rPr>
        <w:t>Sdružení pro informační technologie a telekomunikace (dále jen „ICT Unie“ nebo „ICTU“), společně s konceptem národního architektonického plánu prosazuje koncept</w:t>
      </w:r>
      <w:r w:rsidRPr="003E1660">
        <w:rPr>
          <w:rFonts w:cs="Times New Roman"/>
          <w:szCs w:val="24"/>
        </w:rPr>
        <w:t xml:space="preserve"> sdílených služeb. Upozorňuje na témata, která se v ostatních strategických dokument</w:t>
      </w:r>
      <w:r w:rsidRPr="0096492D">
        <w:rPr>
          <w:rFonts w:cs="Times New Roman"/>
          <w:szCs w:val="24"/>
        </w:rPr>
        <w:t>ech příliš nevyskytují a</w:t>
      </w:r>
      <w:r w:rsidR="00DE15DD">
        <w:rPr>
          <w:rFonts w:cs="Times New Roman"/>
          <w:szCs w:val="24"/>
        </w:rPr>
        <w:t> </w:t>
      </w:r>
      <w:r w:rsidRPr="0096492D">
        <w:rPr>
          <w:rFonts w:cs="Times New Roman"/>
          <w:szCs w:val="24"/>
        </w:rPr>
        <w:t xml:space="preserve">která by měla být zohledněna vzhledem k současným očekávaným trendům. </w:t>
      </w:r>
      <w:r>
        <w:rPr>
          <w:rFonts w:cs="Times New Roman"/>
          <w:szCs w:val="24"/>
        </w:rPr>
        <w:t xml:space="preserve">V oblasti </w:t>
      </w:r>
      <w:r w:rsidRPr="003E1660">
        <w:rPr>
          <w:rFonts w:cs="Times New Roman"/>
          <w:szCs w:val="24"/>
        </w:rPr>
        <w:t>m</w:t>
      </w:r>
      <w:r w:rsidRPr="003E1660">
        <w:rPr>
          <w:rFonts w:cs="Times New Roman"/>
          <w:szCs w:val="24"/>
        </w:rPr>
        <w:t>o</w:t>
      </w:r>
      <w:r w:rsidRPr="003E1660">
        <w:rPr>
          <w:rFonts w:cs="Times New Roman"/>
          <w:szCs w:val="24"/>
        </w:rPr>
        <w:t>bilní</w:t>
      </w:r>
      <w:r>
        <w:rPr>
          <w:rFonts w:cs="Times New Roman"/>
          <w:szCs w:val="24"/>
        </w:rPr>
        <w:t>ch</w:t>
      </w:r>
      <w:r w:rsidRPr="003E1660">
        <w:rPr>
          <w:rFonts w:cs="Times New Roman"/>
          <w:szCs w:val="24"/>
        </w:rPr>
        <w:t xml:space="preserve"> zařízení a aplikac</w:t>
      </w:r>
      <w:r>
        <w:rPr>
          <w:rFonts w:cs="Times New Roman"/>
          <w:szCs w:val="24"/>
        </w:rPr>
        <w:t>í, které představují p</w:t>
      </w:r>
      <w:r w:rsidRPr="0096492D">
        <w:rPr>
          <w:rFonts w:cs="Times New Roman"/>
          <w:szCs w:val="24"/>
        </w:rPr>
        <w:t xml:space="preserve">ro veřejnou správu </w:t>
      </w:r>
      <w:r w:rsidRPr="003E1660">
        <w:rPr>
          <w:rFonts w:cs="Times New Roman"/>
          <w:szCs w:val="24"/>
        </w:rPr>
        <w:t>příležitost k rozvoji služeb především pro občany</w:t>
      </w:r>
      <w:r>
        <w:rPr>
          <w:rFonts w:cs="Times New Roman"/>
          <w:szCs w:val="24"/>
        </w:rPr>
        <w:t>,</w:t>
      </w:r>
      <w:r w:rsidRPr="003E1660">
        <w:rPr>
          <w:rFonts w:cs="Times New Roman"/>
          <w:szCs w:val="24"/>
        </w:rPr>
        <w:t xml:space="preserve"> je možno posunout se na kvalitativně </w:t>
      </w:r>
      <w:r w:rsidRPr="0096492D">
        <w:rPr>
          <w:rFonts w:cs="Times New Roman"/>
          <w:szCs w:val="24"/>
        </w:rPr>
        <w:t xml:space="preserve">vyšší úroveň </w:t>
      </w:r>
      <w:r>
        <w:rPr>
          <w:rFonts w:cs="Times New Roman"/>
          <w:szCs w:val="24"/>
        </w:rPr>
        <w:t xml:space="preserve">právě </w:t>
      </w:r>
      <w:r w:rsidRPr="0096492D">
        <w:rPr>
          <w:rFonts w:cs="Times New Roman"/>
          <w:szCs w:val="24"/>
        </w:rPr>
        <w:t xml:space="preserve">kombinací </w:t>
      </w:r>
      <w:r w:rsidR="000E7343">
        <w:rPr>
          <w:rFonts w:cs="Times New Roman"/>
          <w:szCs w:val="24"/>
        </w:rPr>
        <w:t xml:space="preserve">služeb </w:t>
      </w:r>
      <w:r w:rsidRPr="0096492D">
        <w:rPr>
          <w:rFonts w:cs="Times New Roman"/>
          <w:szCs w:val="24"/>
        </w:rPr>
        <w:t>s</w:t>
      </w:r>
      <w:r>
        <w:rPr>
          <w:rFonts w:cs="Times New Roman"/>
          <w:szCs w:val="24"/>
        </w:rPr>
        <w:t> </w:t>
      </w:r>
      <w:r w:rsidRPr="003E1660">
        <w:rPr>
          <w:rFonts w:cs="Times New Roman"/>
          <w:szCs w:val="24"/>
        </w:rPr>
        <w:t xml:space="preserve">prostorovými daty a </w:t>
      </w:r>
      <w:r w:rsidR="000E7343">
        <w:rPr>
          <w:rFonts w:cs="Times New Roman"/>
          <w:szCs w:val="24"/>
        </w:rPr>
        <w:t>znalostí polohy</w:t>
      </w:r>
      <w:r w:rsidRPr="003E1660">
        <w:rPr>
          <w:rFonts w:cs="Times New Roman"/>
          <w:szCs w:val="24"/>
        </w:rPr>
        <w:t>. Je podporována spolupráce veřejného a so</w:t>
      </w:r>
      <w:r w:rsidRPr="003E1660">
        <w:rPr>
          <w:rFonts w:cs="Times New Roman"/>
          <w:szCs w:val="24"/>
        </w:rPr>
        <w:t>u</w:t>
      </w:r>
      <w:r w:rsidRPr="003E1660">
        <w:rPr>
          <w:rFonts w:cs="Times New Roman"/>
          <w:szCs w:val="24"/>
        </w:rPr>
        <w:t>kromého sektoru v</w:t>
      </w:r>
      <w:r w:rsidR="00C50AF9">
        <w:rPr>
          <w:rFonts w:cs="Times New Roman"/>
          <w:szCs w:val="24"/>
        </w:rPr>
        <w:t> </w:t>
      </w:r>
      <w:r w:rsidRPr="003E1660">
        <w:rPr>
          <w:rFonts w:cs="Times New Roman"/>
          <w:szCs w:val="24"/>
        </w:rPr>
        <w:t>oblasti ICT a rozvíjena myšlenka racionálního propojení veřejných a pr</w:t>
      </w:r>
      <w:r w:rsidRPr="003E1660">
        <w:rPr>
          <w:rFonts w:cs="Times New Roman"/>
          <w:szCs w:val="24"/>
        </w:rPr>
        <w:t>i</w:t>
      </w:r>
      <w:r w:rsidRPr="003E1660">
        <w:rPr>
          <w:rFonts w:cs="Times New Roman"/>
          <w:szCs w:val="24"/>
        </w:rPr>
        <w:t>vátních elektronicky poskytovaných</w:t>
      </w:r>
      <w:r w:rsidRPr="0096492D">
        <w:rPr>
          <w:rFonts w:cs="Times New Roman"/>
          <w:szCs w:val="24"/>
        </w:rPr>
        <w:t xml:space="preserve"> s</w:t>
      </w:r>
      <w:r>
        <w:rPr>
          <w:rFonts w:cs="Times New Roman"/>
          <w:szCs w:val="24"/>
        </w:rPr>
        <w:t xml:space="preserve">lužeb včetně </w:t>
      </w:r>
      <w:r w:rsidRPr="0096492D">
        <w:rPr>
          <w:rFonts w:cs="Times New Roman"/>
          <w:szCs w:val="24"/>
        </w:rPr>
        <w:t>sdílení vybraných dat mezi veřejnou a so</w:t>
      </w:r>
      <w:r w:rsidRPr="0096492D">
        <w:rPr>
          <w:rFonts w:cs="Times New Roman"/>
          <w:szCs w:val="24"/>
        </w:rPr>
        <w:t>u</w:t>
      </w:r>
      <w:r w:rsidRPr="0096492D">
        <w:rPr>
          <w:rFonts w:cs="Times New Roman"/>
          <w:szCs w:val="24"/>
        </w:rPr>
        <w:t>kromou sférou.</w:t>
      </w:r>
      <w:r>
        <w:rPr>
          <w:rFonts w:cs="Times New Roman"/>
          <w:szCs w:val="24"/>
        </w:rPr>
        <w:t xml:space="preserve"> Doporučuje se analyzovat a provázat prostorové a popisné informace</w:t>
      </w:r>
      <w:r w:rsidR="00DE15D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v da</w:t>
      </w:r>
      <w:r>
        <w:rPr>
          <w:rFonts w:cs="Times New Roman"/>
          <w:szCs w:val="24"/>
        </w:rPr>
        <w:t>l</w:t>
      </w:r>
      <w:r>
        <w:rPr>
          <w:rFonts w:cs="Times New Roman"/>
          <w:szCs w:val="24"/>
        </w:rPr>
        <w:t xml:space="preserve">ších oblastech. Je podporováno </w:t>
      </w:r>
      <w:r w:rsidRPr="0096492D">
        <w:rPr>
          <w:rFonts w:cs="Times New Roman"/>
          <w:szCs w:val="24"/>
        </w:rPr>
        <w:t>budování nadstavbových IS zaměřených na propojování sd</w:t>
      </w:r>
      <w:r w:rsidRPr="0096492D">
        <w:rPr>
          <w:rFonts w:cs="Times New Roman"/>
          <w:szCs w:val="24"/>
        </w:rPr>
        <w:t>í</w:t>
      </w:r>
      <w:r w:rsidRPr="0096492D">
        <w:rPr>
          <w:rFonts w:cs="Times New Roman"/>
          <w:szCs w:val="24"/>
        </w:rPr>
        <w:t xml:space="preserve">lených služeb </w:t>
      </w:r>
      <w:r>
        <w:rPr>
          <w:rFonts w:cs="Times New Roman"/>
          <w:szCs w:val="24"/>
        </w:rPr>
        <w:t xml:space="preserve">soukromého a veřejného sektoru </w:t>
      </w:r>
      <w:r w:rsidRPr="0096492D">
        <w:rPr>
          <w:rFonts w:cs="Times New Roman"/>
          <w:szCs w:val="24"/>
        </w:rPr>
        <w:t>a poskytování komplexních informací a ko</w:t>
      </w:r>
      <w:r w:rsidRPr="0096492D">
        <w:rPr>
          <w:rFonts w:cs="Times New Roman"/>
          <w:szCs w:val="24"/>
        </w:rPr>
        <w:t>m</w:t>
      </w:r>
      <w:r w:rsidRPr="0096492D">
        <w:rPr>
          <w:rFonts w:cs="Times New Roman"/>
          <w:szCs w:val="24"/>
        </w:rPr>
        <w:t>pozitních služeb občanům a</w:t>
      </w:r>
      <w:r w:rsidR="00CE5873">
        <w:rPr>
          <w:rFonts w:cs="Times New Roman"/>
          <w:szCs w:val="24"/>
        </w:rPr>
        <w:t> </w:t>
      </w:r>
      <w:r w:rsidRPr="0096492D">
        <w:rPr>
          <w:rFonts w:cs="Times New Roman"/>
          <w:szCs w:val="24"/>
        </w:rPr>
        <w:t>podnikatelským subjektům.</w:t>
      </w:r>
      <w:r>
        <w:rPr>
          <w:rFonts w:cs="Times New Roman"/>
          <w:szCs w:val="24"/>
        </w:rPr>
        <w:t xml:space="preserve"> K</w:t>
      </w:r>
      <w:r w:rsidRPr="0096492D">
        <w:rPr>
          <w:rFonts w:cs="Times New Roman"/>
          <w:szCs w:val="24"/>
        </w:rPr>
        <w:t>líčovým faktorem pro úspěšné vy</w:t>
      </w:r>
      <w:r w:rsidRPr="0096492D">
        <w:rPr>
          <w:rFonts w:cs="Times New Roman"/>
          <w:szCs w:val="24"/>
        </w:rPr>
        <w:t>u</w:t>
      </w:r>
      <w:r w:rsidRPr="0096492D">
        <w:rPr>
          <w:rFonts w:cs="Times New Roman"/>
          <w:szCs w:val="24"/>
        </w:rPr>
        <w:t xml:space="preserve">žívání elektronických služeb veřejné správy je </w:t>
      </w:r>
      <w:r>
        <w:rPr>
          <w:rFonts w:cs="Times New Roman"/>
          <w:szCs w:val="24"/>
        </w:rPr>
        <w:t>informační gramotnost uživatelů služeb veře</w:t>
      </w:r>
      <w:r>
        <w:rPr>
          <w:rFonts w:cs="Times New Roman"/>
          <w:szCs w:val="24"/>
        </w:rPr>
        <w:t>j</w:t>
      </w:r>
      <w:r>
        <w:rPr>
          <w:rFonts w:cs="Times New Roman"/>
          <w:szCs w:val="24"/>
        </w:rPr>
        <w:t xml:space="preserve">né správy. </w:t>
      </w:r>
    </w:p>
    <w:p w:rsidR="003D233F" w:rsidRDefault="009428A9" w:rsidP="009428A9">
      <w:pPr>
        <w:pStyle w:val="Nadpis"/>
        <w:spacing w:before="2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D</w:t>
      </w:r>
      <w:r w:rsidR="008F3061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okument</w:t>
      </w:r>
      <w:r w:rsidR="000E39E2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Strategický rámec rozvoje veřejné správy 2014+,</w:t>
      </w:r>
      <w:r w:rsidR="008F3061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D233F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blíže rozpracovává jednotlivé problémy </w:t>
      </w:r>
      <w:r w:rsidR="008F3061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veřejné správy s cílem dosáhnout z</w:t>
      </w:r>
      <w:r w:rsidR="003D233F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lepšení a zpřehlednění výkonu ve</w:t>
      </w:r>
      <w:r w:rsidR="008F3061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řejné správy v</w:t>
      </w: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8F3061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České republice </w:t>
      </w:r>
      <w:r w:rsidR="003D233F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zajišťující vyšší konkurenceschopnost. Navrhuje se realizovat ta opatření, která vedou především ke zvýšení efektivnosti veřejné správy z dlouhodobého hlediska, jako např. standardizace vybraných agend veřejné správy (včetně informačních a technologických požadavků), snižování administrativní zátěže zejména uvnitř veřejné správy s využitím metod eGovernmentu</w:t>
      </w:r>
      <w:r w:rsidR="000E39E2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3D233F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Strategický rámec rozvoje eGovernmentu 2014+</w:t>
      </w:r>
      <w:r w:rsidR="000E39E2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se více zaměřuje</w:t>
      </w:r>
      <w:r w:rsidR="000E39E2" w:rsidRPr="009428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na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0E39E2" w:rsidRPr="009428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principy elektronického vládnutí. V rámci definice nového pojetí modelu sdílených služeb v rámci eGovernmentu je definována takzvaná “čtyřvrstvá architektura”, která umožňuje efektivní </w:t>
      </w:r>
      <w:r w:rsidR="000E39E2" w:rsidRPr="009428A9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budování a správu sdílených služeb napříč veřejnou správou. Je výslovně požadováno „zaji</w:t>
      </w:r>
      <w:r w:rsidR="000E39E2" w:rsidRPr="009428A9">
        <w:rPr>
          <w:rFonts w:ascii="Times New Roman" w:hAnsi="Times New Roman" w:cs="Times New Roman"/>
          <w:b w:val="0"/>
          <w:color w:val="auto"/>
          <w:sz w:val="24"/>
          <w:szCs w:val="24"/>
        </w:rPr>
        <w:t>š</w:t>
      </w:r>
      <w:r w:rsidR="000E39E2" w:rsidRPr="009428A9">
        <w:rPr>
          <w:rFonts w:ascii="Times New Roman" w:hAnsi="Times New Roman" w:cs="Times New Roman"/>
          <w:b w:val="0"/>
          <w:color w:val="auto"/>
          <w:sz w:val="24"/>
          <w:szCs w:val="24"/>
        </w:rPr>
        <w:t>tění maximálních přínosů vyplývajících ze sdílení referenčních dat veřejné správy prostře</w:t>
      </w:r>
      <w:r w:rsidR="000E39E2" w:rsidRPr="009428A9">
        <w:rPr>
          <w:rFonts w:ascii="Times New Roman" w:hAnsi="Times New Roman" w:cs="Times New Roman"/>
          <w:b w:val="0"/>
          <w:color w:val="auto"/>
          <w:sz w:val="24"/>
          <w:szCs w:val="24"/>
        </w:rPr>
        <w:t>d</w:t>
      </w:r>
      <w:r w:rsidR="000E39E2" w:rsidRPr="009428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nictvím systému základních registrů a agendových informačních systémů“ a rovněž „zajištění maximálních přínosů vyplývající z tvorby a sdílení geoprostorových dat veřejné správy“. </w:t>
      </w:r>
    </w:p>
    <w:p w:rsidR="009428A9" w:rsidRDefault="009428A9" w:rsidP="009428A9">
      <w:pPr>
        <w:pStyle w:val="Nadpis"/>
        <w:spacing w:before="2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Strategie respektuje i potřeby územní samosprávy v oblasti informačních a komunikačních technologií, které jsou obsaženy </w:t>
      </w: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ve Strategii rozvoje informačních a komunikačních techn</w:t>
      </w: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logií (ICT) regionů ČR v letech 2013 – 2020 (Digitální strategie krajů)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451E0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Digitální strategie krajů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uvádí jako jedno z klíčových témat r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ozvoj oblasti prostorových informací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>, v první řadě další r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ozvoj projektu Digitální mapa veřejné správy (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>dále jen „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DMVS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>“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začlenění 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>dosava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>d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ních 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výstupů 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aktivit 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krajů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jako součásti národní infrastruktury pro prostorové informace. Kr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>a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je podporují 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vznik nových mapových služeb pro veřejnost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>prosaz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>ují</w:t>
      </w:r>
      <w:r w:rsidR="00451E07" w:rsidRP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princip sdílení jednou pořízených veřejně využitelných dat.</w:t>
      </w:r>
      <w:r w:rsidR="00451E0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Digitální strategie krajů zdůrazňuje význam informační gramotnosti úředníků i občanů.</w:t>
      </w:r>
    </w:p>
    <w:p w:rsidR="00790390" w:rsidRPr="00790390" w:rsidRDefault="00790390" w:rsidP="00451E07">
      <w:pPr>
        <w:pStyle w:val="Normlnweb"/>
        <w:jc w:val="both"/>
      </w:pPr>
      <w:r w:rsidRPr="00790390">
        <w:t>Strategie, která má n</w:t>
      </w:r>
      <w:r w:rsidR="00E613E0">
        <w:t>ad</w:t>
      </w:r>
      <w:r w:rsidRPr="00790390">
        <w:t xml:space="preserve">rezortní charakter, váže i na současné </w:t>
      </w:r>
      <w:r w:rsidRPr="000F0472">
        <w:rPr>
          <w:b/>
        </w:rPr>
        <w:t>rezortní strategické dokume</w:t>
      </w:r>
      <w:r w:rsidRPr="000F0472">
        <w:rPr>
          <w:b/>
        </w:rPr>
        <w:t>n</w:t>
      </w:r>
      <w:r w:rsidRPr="000F0472">
        <w:rPr>
          <w:b/>
        </w:rPr>
        <w:t>ty</w:t>
      </w:r>
      <w:r w:rsidR="00E613E0">
        <w:t>, z nichž některé uvádíme.</w:t>
      </w:r>
      <w:r w:rsidRPr="00790390">
        <w:t xml:space="preserve"> </w:t>
      </w:r>
    </w:p>
    <w:p w:rsidR="002641B9" w:rsidRPr="00DF6778" w:rsidRDefault="002641B9" w:rsidP="00451E07">
      <w:pPr>
        <w:pStyle w:val="Normlnweb"/>
        <w:jc w:val="both"/>
      </w:pPr>
      <w:r w:rsidRPr="00451E07">
        <w:t>Dopravní politika ČR pro období 2014 – 2020 s výhledem do roku 2050 je</w:t>
      </w:r>
      <w:r w:rsidRPr="00DF6778">
        <w:t xml:space="preserve"> výchozím strat</w:t>
      </w:r>
      <w:r w:rsidRPr="00DF6778">
        <w:t>e</w:t>
      </w:r>
      <w:r w:rsidRPr="00DF6778">
        <w:t>gickým dokumentem resortu dopravy a stanovuje hlavní směry vývoje resortu ve středněd</w:t>
      </w:r>
      <w:r w:rsidRPr="00DF6778">
        <w:t>o</w:t>
      </w:r>
      <w:r w:rsidRPr="00DF6778">
        <w:t>bém a dlouhodobém horizontu.</w:t>
      </w:r>
      <w:r w:rsidRPr="006A26E7">
        <w:t xml:space="preserve"> K základním tématům patří využití nejmodernějších dostu</w:t>
      </w:r>
      <w:r w:rsidRPr="006A26E7">
        <w:t>p</w:t>
      </w:r>
      <w:r w:rsidRPr="006A26E7">
        <w:t>ných technologií a globálních navigačních družicových systémů (</w:t>
      </w:r>
      <w:r>
        <w:t>dále jen „</w:t>
      </w:r>
      <w:r w:rsidRPr="006A26E7">
        <w:t>GNSS</w:t>
      </w:r>
      <w:r>
        <w:t>“</w:t>
      </w:r>
      <w:r w:rsidRPr="006A26E7">
        <w:t>)</w:t>
      </w:r>
      <w:r>
        <w:t xml:space="preserve">, </w:t>
      </w:r>
      <w:r w:rsidRPr="006A26E7">
        <w:t>intel</w:t>
      </w:r>
      <w:r w:rsidRPr="006A26E7">
        <w:t>i</w:t>
      </w:r>
      <w:r w:rsidRPr="006A26E7">
        <w:t>gentní</w:t>
      </w:r>
      <w:r>
        <w:t>ch</w:t>
      </w:r>
      <w:r w:rsidRPr="006A26E7">
        <w:t xml:space="preserve"> dopravní</w:t>
      </w:r>
      <w:r>
        <w:t>ch</w:t>
      </w:r>
      <w:r w:rsidRPr="006A26E7">
        <w:t xml:space="preserve"> systém</w:t>
      </w:r>
      <w:r>
        <w:t>ů</w:t>
      </w:r>
      <w:r w:rsidRPr="006A26E7">
        <w:t xml:space="preserve"> pro zvýšení bezpečnosti a</w:t>
      </w:r>
      <w:r>
        <w:t> </w:t>
      </w:r>
      <w:r w:rsidRPr="006A26E7">
        <w:t>efektivnosti dopravy, využ</w:t>
      </w:r>
      <w:r>
        <w:t>ití</w:t>
      </w:r>
      <w:r w:rsidRPr="006A26E7">
        <w:t xml:space="preserve"> inov</w:t>
      </w:r>
      <w:r w:rsidRPr="006A26E7">
        <w:t>a</w:t>
      </w:r>
      <w:r w:rsidRPr="006A26E7">
        <w:t>tivní</w:t>
      </w:r>
      <w:r>
        <w:t>ch</w:t>
      </w:r>
      <w:r w:rsidRPr="006A26E7">
        <w:t xml:space="preserve"> technologi</w:t>
      </w:r>
      <w:r>
        <w:t>í</w:t>
      </w:r>
      <w:r w:rsidRPr="006A26E7">
        <w:t xml:space="preserve"> (EGNOS, GALILEO) v rámci zavádění systémů ITS v dopravě a celkově zaji</w:t>
      </w:r>
      <w:r>
        <w:t>štění podpory</w:t>
      </w:r>
      <w:r w:rsidRPr="006A26E7">
        <w:t xml:space="preserve"> informačních služeb v oblasti kosmických aktivit využitelných v sektoru doprav</w:t>
      </w:r>
      <w:r>
        <w:t>y</w:t>
      </w:r>
      <w:r w:rsidRPr="006A26E7">
        <w:t xml:space="preserve">. </w:t>
      </w:r>
      <w:r>
        <w:t>V</w:t>
      </w:r>
      <w:r w:rsidRPr="006A26E7">
        <w:t xml:space="preserve"> rámci </w:t>
      </w:r>
      <w:r>
        <w:t>z</w:t>
      </w:r>
      <w:r w:rsidRPr="006A26E7">
        <w:t>vyšování bezpeč</w:t>
      </w:r>
      <w:r>
        <w:t>nosti dopravy</w:t>
      </w:r>
      <w:r w:rsidRPr="006A26E7">
        <w:t xml:space="preserve"> je požadováno </w:t>
      </w:r>
      <w:r>
        <w:t>rozvíjení systémů</w:t>
      </w:r>
      <w:r w:rsidRPr="006A26E7">
        <w:t xml:space="preserve"> pro mon</w:t>
      </w:r>
      <w:r w:rsidRPr="006A26E7">
        <w:t>i</w:t>
      </w:r>
      <w:r w:rsidRPr="006A26E7">
        <w:t>torování bezpečnosti dopravní infrastruktury</w:t>
      </w:r>
      <w:r>
        <w:t xml:space="preserve"> s využitím </w:t>
      </w:r>
      <w:r w:rsidRPr="006A26E7">
        <w:t>moderních technologií, vč. kosmi</w:t>
      </w:r>
      <w:r w:rsidRPr="006A26E7">
        <w:t>c</w:t>
      </w:r>
      <w:r w:rsidRPr="006A26E7">
        <w:t>kých (např. pomocí dálkového průzkumu Země) a získané informace následně integrovat v</w:t>
      </w:r>
      <w:r>
        <w:t> </w:t>
      </w:r>
      <w:r w:rsidRPr="006A26E7">
        <w:t xml:space="preserve">rámci </w:t>
      </w:r>
      <w:r>
        <w:t xml:space="preserve">geografických </w:t>
      </w:r>
      <w:r w:rsidRPr="006A26E7">
        <w:t>informačních systémů</w:t>
      </w:r>
      <w:r>
        <w:t xml:space="preserve"> (dále jen „GIS“)</w:t>
      </w:r>
      <w:r w:rsidRPr="006A26E7">
        <w:t xml:space="preserve">. </w:t>
      </w:r>
    </w:p>
    <w:p w:rsidR="00790390" w:rsidRPr="00790390" w:rsidRDefault="00790390" w:rsidP="00790390">
      <w:pPr>
        <w:spacing w:before="360"/>
      </w:pPr>
      <w:r w:rsidRPr="00790390">
        <w:rPr>
          <w:rFonts w:cs="Times New Roman"/>
          <w:kern w:val="0"/>
          <w:szCs w:val="24"/>
        </w:rPr>
        <w:t>Státní politika životního prostředí ČR 2012-2020</w:t>
      </w:r>
      <w:r>
        <w:rPr>
          <w:rFonts w:cs="Times New Roman"/>
          <w:kern w:val="0"/>
          <w:szCs w:val="24"/>
        </w:rPr>
        <w:t xml:space="preserve"> m</w:t>
      </w:r>
      <w:r>
        <w:t>ezi informačními nástroji realizace polit</w:t>
      </w:r>
      <w:r>
        <w:t>i</w:t>
      </w:r>
      <w:r>
        <w:t>ky životního prostředí uvádí na prvním místě</w:t>
      </w:r>
      <w:r w:rsidRPr="00847331">
        <w:t xml:space="preserve"> Jednotný informační systém životního prostředí (</w:t>
      </w:r>
      <w:r>
        <w:t>dále jen „</w:t>
      </w:r>
      <w:r w:rsidRPr="00686E30">
        <w:t>JISŽP</w:t>
      </w:r>
      <w:r>
        <w:t>“</w:t>
      </w:r>
      <w:r w:rsidRPr="00847331">
        <w:t>)</w:t>
      </w:r>
      <w:r>
        <w:t>, který</w:t>
      </w:r>
      <w:r w:rsidRPr="00847331">
        <w:t xml:space="preserve"> je tvořen dílčími agendovými a integračními informačními systémy</w:t>
      </w:r>
      <w:r w:rsidRPr="00686E30">
        <w:t>.</w:t>
      </w:r>
      <w:r>
        <w:t xml:space="preserve"> Je zdůrazňováno, že „v</w:t>
      </w:r>
      <w:r w:rsidRPr="00686E30">
        <w:t xml:space="preserve"> souvislosti s budováním a konsolidací JISŽP je nezbytné podporovat propojování JISŽP s evropskými informačními systémy zaměřenými na oblast životního pr</w:t>
      </w:r>
      <w:r w:rsidRPr="00686E30">
        <w:t>o</w:t>
      </w:r>
      <w:r w:rsidRPr="00686E30">
        <w:t>středí, resp. využívání služeb těchto systémů. Zejména pak jde o ty systémy a služby, které vznikají na základě programu GMES a SEIS</w:t>
      </w:r>
      <w:r>
        <w:t>“. Strategický dokument tedy zdůrazňuje potřebu jednotných a integrovaných informačních systémů s prostorovými informacemi, včetně mez</w:t>
      </w:r>
      <w:r>
        <w:t>i</w:t>
      </w:r>
      <w:r>
        <w:t>národních iniciativ a systémů.</w:t>
      </w:r>
    </w:p>
    <w:p w:rsidR="00E613E0" w:rsidRDefault="00E613E0" w:rsidP="000E39E2">
      <w:pPr>
        <w:pStyle w:val="Nadpis"/>
        <w:spacing w:before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Shrnutí</w:t>
      </w:r>
    </w:p>
    <w:p w:rsidR="000E39E2" w:rsidRPr="00E613E0" w:rsidRDefault="00451E07" w:rsidP="000E39E2">
      <w:pPr>
        <w:pStyle w:val="Nadpis"/>
        <w:spacing w:before="2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Strategie s</w:t>
      </w:r>
      <w:r w:rsidR="009428A9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 xml:space="preserve"> </w:t>
      </w:r>
      <w:r w:rsidR="006A20A7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využitím zavedených principů a</w:t>
      </w:r>
      <w:r w:rsidR="006304FD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 </w:t>
      </w:r>
      <w:r w:rsidR="006A20A7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terminologie</w:t>
      </w:r>
      <w:r w:rsidR="009428A9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 xml:space="preserve"> “čtyřvrstvé architektury eGover</w:t>
      </w:r>
      <w:r w:rsidR="009428A9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n</w:t>
      </w:r>
      <w:r w:rsidR="009428A9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 xml:space="preserve">mentu“, která je detailně vysvětlena v textu dále, </w:t>
      </w:r>
      <w:r w:rsidR="003D233F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rozpracová</w:t>
      </w:r>
      <w:r w:rsidR="009428A9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vá</w:t>
      </w:r>
      <w:r w:rsidR="003D233F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 xml:space="preserve"> základní principy dokumentu „Strategický rámec rozvoje eGovernmentu 2014+“ v oblasti prostorových informací a</w:t>
      </w:r>
      <w:r w:rsidR="00F86B0B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 </w:t>
      </w:r>
      <w:r w:rsidR="003D233F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dále se zamě</w:t>
      </w:r>
      <w:r w:rsidR="009428A9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řuje</w:t>
      </w:r>
      <w:r w:rsidR="003D233F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 xml:space="preserve"> na řešení specifických problémů v dané oblasti v České republice.</w:t>
      </w:r>
      <w:r w:rsidR="000E39E2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 xml:space="preserve"> Strategie navrh</w:t>
      </w:r>
      <w:r w:rsidR="000E39E2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>u</w:t>
      </w:r>
      <w:r w:rsidR="000E39E2" w:rsidRPr="00E613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cs-CZ"/>
        </w:rPr>
        <w:t xml:space="preserve">je </w:t>
      </w:r>
      <w:r w:rsidR="000E39E2" w:rsidRPr="00E613E0">
        <w:rPr>
          <w:rFonts w:ascii="Times New Roman" w:hAnsi="Times New Roman" w:cs="Times New Roman"/>
          <w:b w:val="0"/>
          <w:color w:val="auto"/>
          <w:sz w:val="24"/>
          <w:szCs w:val="24"/>
        </w:rPr>
        <w:t>zajištění kvalitních garantovaných prostorových informací a služeb založených nad prost</w:t>
      </w:r>
      <w:r w:rsidR="000E39E2" w:rsidRPr="00E613E0">
        <w:rPr>
          <w:rFonts w:ascii="Times New Roman" w:hAnsi="Times New Roman" w:cs="Times New Roman"/>
          <w:b w:val="0"/>
          <w:color w:val="auto"/>
          <w:sz w:val="24"/>
          <w:szCs w:val="24"/>
        </w:rPr>
        <w:t>o</w:t>
      </w:r>
      <w:r w:rsidR="000E39E2" w:rsidRPr="00E613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rovými daty nejen pro efektivní výkon veřejné správy, ale i pro potřeby celé společnosti. </w:t>
      </w:r>
    </w:p>
    <w:p w:rsidR="002641B9" w:rsidRPr="00E613E0" w:rsidRDefault="002641B9" w:rsidP="008C7465">
      <w:pPr>
        <w:pStyle w:val="Normlnweb"/>
        <w:jc w:val="both"/>
      </w:pPr>
      <w:r w:rsidRPr="00E613E0">
        <w:lastRenderedPageBreak/>
        <w:t>Základním krokem pro dosažení požadovaných přínosů je koordinovaný rozvoj infrastruktury pro prostorové informace, který bude koncipován jako integrální součást eGovernmentu v České republice a s ohledem na mezinárodní opatření k zajištění interoperability prostor</w:t>
      </w:r>
      <w:r w:rsidRPr="00E613E0">
        <w:t>o</w:t>
      </w:r>
      <w:r w:rsidRPr="00E613E0">
        <w:t>vých dat a služeb nad těmito daty (INSPIRE, NATO) a s dopady do oblasti vzdělávání</w:t>
      </w:r>
      <w:r>
        <w:t>, s respektováním cílů navržených pro dané období ve strategických dokumentech rezortního charakteru</w:t>
      </w:r>
      <w:r w:rsidRPr="00E613E0">
        <w:t>.</w:t>
      </w:r>
    </w:p>
    <w:p w:rsidR="00A04051" w:rsidRDefault="00693B2F" w:rsidP="00A04051">
      <w:pPr>
        <w:pStyle w:val="Nadpis2"/>
      </w:pPr>
      <w:r w:rsidRPr="00693B2F">
        <w:t>Slovník pojmů</w:t>
      </w:r>
      <w:r w:rsidR="00A04051">
        <w:t xml:space="preserve"> </w:t>
      </w:r>
    </w:p>
    <w:p w:rsidR="00693B2F" w:rsidRPr="00A04051" w:rsidRDefault="00A04051" w:rsidP="00A04051">
      <w:pPr>
        <w:pStyle w:val="Nadpis2"/>
        <w:numPr>
          <w:ilvl w:val="0"/>
          <w:numId w:val="0"/>
        </w:numPr>
        <w:rPr>
          <w:b w:val="0"/>
          <w:i/>
          <w:sz w:val="24"/>
          <w:szCs w:val="24"/>
        </w:rPr>
      </w:pPr>
      <w:r w:rsidRPr="00A04051">
        <w:rPr>
          <w:i/>
          <w:sz w:val="24"/>
          <w:szCs w:val="24"/>
        </w:rPr>
        <w:t>Poznámka:</w:t>
      </w:r>
      <w:r w:rsidRPr="00A04051">
        <w:rPr>
          <w:b w:val="0"/>
          <w:i/>
          <w:sz w:val="24"/>
          <w:szCs w:val="24"/>
        </w:rPr>
        <w:t xml:space="preserve">  Slovník pojmů</w:t>
      </w:r>
      <w:r>
        <w:rPr>
          <w:b w:val="0"/>
          <w:i/>
          <w:sz w:val="24"/>
          <w:szCs w:val="24"/>
        </w:rPr>
        <w:t xml:space="preserve"> je neúplný, </w:t>
      </w:r>
      <w:r w:rsidRPr="00A04051">
        <w:rPr>
          <w:b w:val="0"/>
          <w:i/>
          <w:sz w:val="24"/>
          <w:szCs w:val="24"/>
        </w:rPr>
        <w:t>bude</w:t>
      </w:r>
      <w:r>
        <w:rPr>
          <w:b w:val="0"/>
          <w:i/>
          <w:sz w:val="24"/>
          <w:szCs w:val="24"/>
        </w:rPr>
        <w:t xml:space="preserve"> dopracován.</w:t>
      </w:r>
      <w:r w:rsidRPr="00A04051">
        <w:rPr>
          <w:b w:val="0"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127"/>
      </w:tblGrid>
      <w:tr w:rsidR="00C676E7" w:rsidRPr="00EB1761" w:rsidTr="00FA7161">
        <w:tc>
          <w:tcPr>
            <w:tcW w:w="3085" w:type="dxa"/>
          </w:tcPr>
          <w:p w:rsidR="00C676E7" w:rsidRDefault="00C676E7" w:rsidP="000F0472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Datová sada</w:t>
            </w:r>
          </w:p>
        </w:tc>
        <w:tc>
          <w:tcPr>
            <w:tcW w:w="6127" w:type="dxa"/>
          </w:tcPr>
          <w:p w:rsidR="00C676E7" w:rsidRPr="00F149E3" w:rsidRDefault="00F149E3" w:rsidP="00C676E7">
            <w:pPr>
              <w:spacing w:before="60" w:after="60"/>
              <w:jc w:val="left"/>
            </w:pPr>
            <w:r w:rsidRPr="00F149E3">
              <w:rPr>
                <w:b/>
              </w:rPr>
              <w:t>1:</w:t>
            </w:r>
            <w:r>
              <w:t xml:space="preserve"> </w:t>
            </w:r>
            <w:r w:rsidR="00C676E7">
              <w:t>identifikovatelná kolekce dat</w:t>
            </w:r>
            <w:r>
              <w:br/>
            </w:r>
            <w:r w:rsidRPr="00F149E3">
              <w:rPr>
                <w:b/>
              </w:rPr>
              <w:t>2:</w:t>
            </w:r>
            <w:r w:rsidR="00C676E7">
              <w:t xml:space="preserve"> data tvořící logický celek v rámci určitého informačního systému</w:t>
            </w:r>
          </w:p>
        </w:tc>
      </w:tr>
      <w:tr w:rsidR="00E47CE2" w:rsidRPr="00EB1761" w:rsidTr="00FA7161">
        <w:tc>
          <w:tcPr>
            <w:tcW w:w="3085" w:type="dxa"/>
          </w:tcPr>
          <w:p w:rsidR="00E47CE2" w:rsidRPr="00EB1761" w:rsidRDefault="00E47CE2" w:rsidP="000F0472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Geodata</w:t>
            </w:r>
          </w:p>
        </w:tc>
        <w:tc>
          <w:tcPr>
            <w:tcW w:w="6127" w:type="dxa"/>
          </w:tcPr>
          <w:p w:rsidR="00E47CE2" w:rsidRDefault="00E47CE2" w:rsidP="00F149E3">
            <w:pPr>
              <w:spacing w:before="60" w:after="60"/>
              <w:jc w:val="left"/>
              <w:rPr>
                <w:rFonts w:cs="Times New Roman"/>
                <w:szCs w:val="24"/>
                <w:lang w:eastAsia="cs-CZ"/>
              </w:rPr>
            </w:pPr>
            <w:r>
              <w:rPr>
                <w:rFonts w:cs="Times New Roman"/>
                <w:szCs w:val="24"/>
                <w:lang w:eastAsia="cs-CZ"/>
              </w:rPr>
              <w:t xml:space="preserve">Prostorová data - </w:t>
            </w:r>
            <w:r w:rsidRPr="00D42A11">
              <w:rPr>
                <w:rFonts w:cs="Times New Roman"/>
                <w:szCs w:val="24"/>
              </w:rPr>
              <w:t>data o poloze, tvaru a vztazích mezi jevy reálného světa, vyjádřená zpravidla ve formě souřadnic a</w:t>
            </w:r>
            <w:r w:rsidR="00F149E3">
              <w:rPr>
                <w:rFonts w:cs="Times New Roman"/>
                <w:szCs w:val="24"/>
              </w:rPr>
              <w:t> </w:t>
            </w:r>
            <w:r w:rsidRPr="00D42A11">
              <w:rPr>
                <w:rFonts w:cs="Times New Roman"/>
                <w:szCs w:val="24"/>
              </w:rPr>
              <w:t>topologie</w:t>
            </w:r>
          </w:p>
        </w:tc>
      </w:tr>
      <w:tr w:rsidR="005D276C" w:rsidRPr="00EB1761" w:rsidTr="00FA7161">
        <w:tc>
          <w:tcPr>
            <w:tcW w:w="3085" w:type="dxa"/>
          </w:tcPr>
          <w:p w:rsidR="005D276C" w:rsidRDefault="005D276C" w:rsidP="000F0472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Geografický informační sy</w:t>
            </w:r>
            <w:r>
              <w:rPr>
                <w:rFonts w:cs="Times New Roman"/>
                <w:szCs w:val="24"/>
              </w:rPr>
              <w:t>s</w:t>
            </w:r>
            <w:r>
              <w:rPr>
                <w:rFonts w:cs="Times New Roman"/>
                <w:szCs w:val="24"/>
              </w:rPr>
              <w:t>tém</w:t>
            </w:r>
          </w:p>
        </w:tc>
        <w:tc>
          <w:tcPr>
            <w:tcW w:w="6127" w:type="dxa"/>
          </w:tcPr>
          <w:p w:rsidR="005D276C" w:rsidRPr="005D276C" w:rsidRDefault="005D276C" w:rsidP="005D276C">
            <w:pPr>
              <w:spacing w:before="60" w:after="60"/>
              <w:jc w:val="left"/>
              <w:rPr>
                <w:rFonts w:cs="Times New Roman"/>
                <w:szCs w:val="24"/>
                <w:lang w:eastAsia="cs-CZ"/>
              </w:rPr>
            </w:pPr>
            <w:r w:rsidRPr="005D276C">
              <w:rPr>
                <w:rFonts w:cs="Times New Roman"/>
                <w:bCs/>
                <w:szCs w:val="24"/>
                <w:lang w:eastAsia="cs-CZ"/>
              </w:rPr>
              <w:t>počítačový systém, který umožňuje ukládat a využívat ge</w:t>
            </w:r>
            <w:r w:rsidRPr="005D276C">
              <w:rPr>
                <w:rFonts w:cs="Times New Roman"/>
                <w:bCs/>
                <w:szCs w:val="24"/>
                <w:lang w:eastAsia="cs-CZ"/>
              </w:rPr>
              <w:t>o</w:t>
            </w:r>
            <w:r w:rsidRPr="005D276C">
              <w:rPr>
                <w:rFonts w:cs="Times New Roman"/>
                <w:bCs/>
                <w:szCs w:val="24"/>
                <w:lang w:eastAsia="cs-CZ"/>
              </w:rPr>
              <w:t>grafická data</w:t>
            </w:r>
          </w:p>
        </w:tc>
      </w:tr>
      <w:tr w:rsidR="00E47CE2" w:rsidRPr="00EB1761" w:rsidTr="00FA7161">
        <w:tc>
          <w:tcPr>
            <w:tcW w:w="3085" w:type="dxa"/>
          </w:tcPr>
          <w:p w:rsidR="00E47CE2" w:rsidRDefault="00E47CE2" w:rsidP="000F0472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</w:t>
            </w:r>
            <w:r w:rsidR="00C676E7">
              <w:rPr>
                <w:rFonts w:cs="Times New Roman"/>
                <w:szCs w:val="24"/>
              </w:rPr>
              <w:t>e</w:t>
            </w:r>
            <w:r>
              <w:rPr>
                <w:rFonts w:cs="Times New Roman"/>
                <w:szCs w:val="24"/>
              </w:rPr>
              <w:t>oinformace</w:t>
            </w:r>
          </w:p>
        </w:tc>
        <w:tc>
          <w:tcPr>
            <w:tcW w:w="6127" w:type="dxa"/>
          </w:tcPr>
          <w:p w:rsidR="00E47CE2" w:rsidRPr="005D276C" w:rsidRDefault="00E47CE2" w:rsidP="000F0472">
            <w:pPr>
              <w:spacing w:before="60" w:after="60"/>
              <w:jc w:val="left"/>
              <w:rPr>
                <w:rFonts w:cs="Times New Roman"/>
                <w:szCs w:val="24"/>
                <w:lang w:eastAsia="cs-CZ"/>
              </w:rPr>
            </w:pPr>
            <w:r w:rsidRPr="005D276C">
              <w:rPr>
                <w:rFonts w:cs="Times New Roman"/>
                <w:szCs w:val="24"/>
                <w:lang w:eastAsia="cs-CZ"/>
              </w:rPr>
              <w:t xml:space="preserve">Prostorová informace - </w:t>
            </w:r>
            <w:r w:rsidRPr="005D276C">
              <w:rPr>
                <w:szCs w:val="24"/>
                <w:lang w:eastAsia="cs-CZ"/>
              </w:rPr>
              <w:t>smysluplná interpretace prostorových dat a vztahů mezi nimi.</w:t>
            </w:r>
          </w:p>
        </w:tc>
      </w:tr>
      <w:tr w:rsidR="00F149E3" w:rsidRPr="00EB1761" w:rsidTr="00FA7161">
        <w:tc>
          <w:tcPr>
            <w:tcW w:w="3085" w:type="dxa"/>
          </w:tcPr>
          <w:p w:rsidR="00F149E3" w:rsidRPr="00EB1761" w:rsidRDefault="00F149E3" w:rsidP="000F0472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Geoinformatika</w:t>
            </w:r>
          </w:p>
        </w:tc>
        <w:tc>
          <w:tcPr>
            <w:tcW w:w="6127" w:type="dxa"/>
          </w:tcPr>
          <w:p w:rsidR="00F149E3" w:rsidRDefault="00F149E3" w:rsidP="000F0472">
            <w:pPr>
              <w:spacing w:before="60" w:after="60"/>
              <w:jc w:val="left"/>
              <w:rPr>
                <w:rFonts w:cs="Times New Roman"/>
                <w:szCs w:val="24"/>
                <w:lang w:eastAsia="cs-CZ"/>
              </w:rPr>
            </w:pPr>
            <w:r w:rsidRPr="00F149E3">
              <w:rPr>
                <w:b/>
              </w:rPr>
              <w:t>1:</w:t>
            </w:r>
            <w:r>
              <w:t xml:space="preserve"> specifická část informatiky, zabývající se geodaty, geoi</w:t>
            </w:r>
            <w:r>
              <w:t>n</w:t>
            </w:r>
            <w:r>
              <w:t>formacemi a geografickými informačními systémy</w:t>
            </w:r>
            <w:r>
              <w:br/>
            </w:r>
            <w:r>
              <w:rPr>
                <w:b/>
                <w:bCs/>
              </w:rPr>
              <w:t>2:</w:t>
            </w:r>
            <w:r>
              <w:t xml:space="preserve"> interdisciplinární oblast na styku geografie, kartografie a informatiky, která zkoumá přírodní a socioekonomické ge</w:t>
            </w:r>
            <w:r>
              <w:t>o</w:t>
            </w:r>
            <w:r>
              <w:t>systémy (jejich strukturu, vztahy, dynamiku, fungování apod.) pomocí modelování</w:t>
            </w:r>
          </w:p>
        </w:tc>
      </w:tr>
      <w:tr w:rsidR="006550C1" w:rsidRPr="00EB1761" w:rsidTr="00FA7161">
        <w:tc>
          <w:tcPr>
            <w:tcW w:w="3085" w:type="dxa"/>
          </w:tcPr>
          <w:p w:rsidR="006550C1" w:rsidRPr="00EB1761" w:rsidRDefault="006550C1" w:rsidP="000F0472">
            <w:pPr>
              <w:spacing w:before="60" w:after="60"/>
              <w:rPr>
                <w:rFonts w:cs="Times New Roman"/>
                <w:szCs w:val="24"/>
              </w:rPr>
            </w:pPr>
            <w:r w:rsidRPr="00EB1761">
              <w:rPr>
                <w:rFonts w:cs="Times New Roman"/>
                <w:szCs w:val="24"/>
              </w:rPr>
              <w:t>Infrastruktura pro prostorové informace</w:t>
            </w:r>
          </w:p>
        </w:tc>
        <w:tc>
          <w:tcPr>
            <w:tcW w:w="6127" w:type="dxa"/>
          </w:tcPr>
          <w:p w:rsidR="0024094A" w:rsidRDefault="00BA37E3" w:rsidP="000F0472">
            <w:pPr>
              <w:spacing w:before="60" w:after="60"/>
              <w:jc w:val="left"/>
              <w:rPr>
                <w:rFonts w:cs="Times New Roman"/>
                <w:szCs w:val="24"/>
                <w:lang w:eastAsia="cs-CZ"/>
              </w:rPr>
            </w:pPr>
            <w:r w:rsidRPr="00BA37E3">
              <w:rPr>
                <w:rFonts w:cs="Times New Roman"/>
                <w:b/>
                <w:szCs w:val="24"/>
                <w:lang w:eastAsia="cs-CZ"/>
              </w:rPr>
              <w:t>1:</w:t>
            </w:r>
            <w:r>
              <w:rPr>
                <w:rFonts w:cs="Times New Roman"/>
                <w:szCs w:val="24"/>
                <w:lang w:eastAsia="cs-CZ"/>
              </w:rPr>
              <w:t xml:space="preserve"> </w:t>
            </w:r>
            <w:r w:rsidR="0024094A">
              <w:rPr>
                <w:rFonts w:cs="Times New Roman"/>
                <w:szCs w:val="24"/>
                <w:lang w:eastAsia="cs-CZ"/>
              </w:rPr>
              <w:t>Soustava</w:t>
            </w:r>
            <w:r w:rsidR="0024094A" w:rsidRPr="006879AB">
              <w:rPr>
                <w:rFonts w:cs="Times New Roman"/>
                <w:szCs w:val="24"/>
                <w:lang w:eastAsia="cs-CZ"/>
              </w:rPr>
              <w:t xml:space="preserve"> zásad, </w:t>
            </w:r>
            <w:r w:rsidR="0024094A">
              <w:rPr>
                <w:rFonts w:cs="Times New Roman"/>
                <w:szCs w:val="24"/>
                <w:lang w:eastAsia="cs-CZ"/>
              </w:rPr>
              <w:t xml:space="preserve">znalostí, </w:t>
            </w:r>
            <w:r w:rsidR="0024094A" w:rsidRPr="006879AB">
              <w:rPr>
                <w:rFonts w:cs="Times New Roman"/>
                <w:szCs w:val="24"/>
                <w:lang w:eastAsia="cs-CZ"/>
              </w:rPr>
              <w:t>institucionální</w:t>
            </w:r>
            <w:r w:rsidR="0024094A">
              <w:rPr>
                <w:rFonts w:cs="Times New Roman"/>
                <w:szCs w:val="24"/>
                <w:lang w:eastAsia="cs-CZ"/>
              </w:rPr>
              <w:t>ch opatření, tec</w:t>
            </w:r>
            <w:r w:rsidR="0024094A">
              <w:rPr>
                <w:rFonts w:cs="Times New Roman"/>
                <w:szCs w:val="24"/>
                <w:lang w:eastAsia="cs-CZ"/>
              </w:rPr>
              <w:t>h</w:t>
            </w:r>
            <w:r w:rsidR="0024094A">
              <w:rPr>
                <w:rFonts w:cs="Times New Roman"/>
                <w:szCs w:val="24"/>
                <w:lang w:eastAsia="cs-CZ"/>
              </w:rPr>
              <w:t>nologií, dat a </w:t>
            </w:r>
            <w:r w:rsidR="0024094A" w:rsidRPr="006879AB">
              <w:rPr>
                <w:rFonts w:cs="Times New Roman"/>
                <w:szCs w:val="24"/>
                <w:lang w:eastAsia="cs-CZ"/>
              </w:rPr>
              <w:t>lidských zdrojů, kter</w:t>
            </w:r>
            <w:r w:rsidR="0024094A">
              <w:rPr>
                <w:rFonts w:cs="Times New Roman"/>
                <w:szCs w:val="24"/>
                <w:lang w:eastAsia="cs-CZ"/>
              </w:rPr>
              <w:t>á</w:t>
            </w:r>
            <w:r w:rsidR="0024094A" w:rsidRPr="006879AB">
              <w:rPr>
                <w:rFonts w:cs="Times New Roman"/>
                <w:szCs w:val="24"/>
                <w:lang w:eastAsia="cs-CZ"/>
              </w:rPr>
              <w:t xml:space="preserve"> umožní sdílení a efektivní využívání prostorových informací</w:t>
            </w:r>
          </w:p>
          <w:p w:rsidR="006550C1" w:rsidRDefault="0024094A" w:rsidP="000F0472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 w:rsidRPr="0024094A">
              <w:rPr>
                <w:rFonts w:cs="Times New Roman"/>
                <w:b/>
                <w:szCs w:val="24"/>
                <w:lang w:eastAsia="cs-CZ"/>
              </w:rPr>
              <w:t xml:space="preserve">2: </w:t>
            </w:r>
            <w:r w:rsidR="006550C1">
              <w:rPr>
                <w:rFonts w:cs="Times New Roman"/>
                <w:szCs w:val="24"/>
                <w:lang w:eastAsia="cs-CZ"/>
              </w:rPr>
              <w:t>R</w:t>
            </w:r>
            <w:r w:rsidR="006550C1" w:rsidRPr="006879AB">
              <w:rPr>
                <w:rFonts w:cs="Times New Roman"/>
                <w:szCs w:val="24"/>
                <w:lang w:eastAsia="cs-CZ"/>
              </w:rPr>
              <w:t>ámec zásad, institucionální</w:t>
            </w:r>
            <w:r w:rsidR="006550C1">
              <w:rPr>
                <w:rFonts w:cs="Times New Roman"/>
                <w:szCs w:val="24"/>
                <w:lang w:eastAsia="cs-CZ"/>
              </w:rPr>
              <w:t>ch opatření, technologií, dat a </w:t>
            </w:r>
            <w:r w:rsidR="006550C1" w:rsidRPr="006879AB">
              <w:rPr>
                <w:rFonts w:cs="Times New Roman"/>
                <w:szCs w:val="24"/>
                <w:lang w:eastAsia="cs-CZ"/>
              </w:rPr>
              <w:t>lidských zdrojů, který umožní sdílení a efektivní využívání prostorových informací</w:t>
            </w:r>
            <w:r w:rsidR="006550C1">
              <w:rPr>
                <w:rFonts w:cs="Times New Roman"/>
                <w:szCs w:val="24"/>
                <w:lang w:eastAsia="cs-CZ"/>
              </w:rPr>
              <w:t xml:space="preserve"> </w:t>
            </w:r>
            <w:r w:rsidR="006550C1" w:rsidRPr="006F139C">
              <w:rPr>
                <w:rFonts w:cs="Times New Roman"/>
                <w:szCs w:val="24"/>
                <w:lang w:eastAsia="cs-CZ"/>
              </w:rPr>
              <w:t>(</w:t>
            </w:r>
            <w:r w:rsidR="006550C1" w:rsidRPr="006F139C">
              <w:rPr>
                <w:rFonts w:cs="Times New Roman"/>
                <w:szCs w:val="24"/>
              </w:rPr>
              <w:t>M. Craglia et al, GI in the Wider Europe, GINIE Book, 2003)</w:t>
            </w:r>
          </w:p>
          <w:p w:rsidR="00BA37E3" w:rsidRPr="00EB1761" w:rsidRDefault="0024094A" w:rsidP="000F0472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rPr>
                <w:b/>
              </w:rPr>
              <w:t>3</w:t>
            </w:r>
            <w:r w:rsidR="00BA37E3" w:rsidRPr="00BA37E3">
              <w:rPr>
                <w:b/>
              </w:rPr>
              <w:t>:</w:t>
            </w:r>
            <w:r w:rsidR="00BA37E3">
              <w:t xml:space="preserve"> prostředky určené ke shromažďování geografických i</w:t>
            </w:r>
            <w:r w:rsidR="00BA37E3">
              <w:t>n</w:t>
            </w:r>
            <w:r w:rsidR="00BA37E3">
              <w:t>formací, popisujících uspořádání jevů na Zemi a jejich atr</w:t>
            </w:r>
            <w:r w:rsidR="00BA37E3">
              <w:t>i</w:t>
            </w:r>
            <w:r w:rsidR="00BA37E3">
              <w:t>buty; infrastruktura zahrnuje materiály, technologii a pers</w:t>
            </w:r>
            <w:r w:rsidR="00BA37E3">
              <w:t>o</w:t>
            </w:r>
            <w:r w:rsidR="00BA37E3">
              <w:t>nál nezbytný pro sběr, zpracování, uchovávání a distribuci takových informací, realizovaných pro uspokojení širokého sortimentu potřeb (Terminologický slovník VÚGTK)</w:t>
            </w:r>
          </w:p>
        </w:tc>
      </w:tr>
      <w:tr w:rsidR="006550C1" w:rsidRPr="000A4744" w:rsidTr="00FA7161">
        <w:tc>
          <w:tcPr>
            <w:tcW w:w="3085" w:type="dxa"/>
          </w:tcPr>
          <w:p w:rsidR="006550C1" w:rsidRPr="000A4744" w:rsidRDefault="006550C1" w:rsidP="000F0472">
            <w:pPr>
              <w:spacing w:before="60" w:after="60"/>
              <w:rPr>
                <w:rFonts w:cs="Times New Roman"/>
                <w:szCs w:val="24"/>
              </w:rPr>
            </w:pPr>
            <w:r w:rsidRPr="000A4744">
              <w:rPr>
                <w:rFonts w:cs="Times New Roman"/>
                <w:szCs w:val="24"/>
              </w:rPr>
              <w:t>Interoperabilita</w:t>
            </w:r>
          </w:p>
        </w:tc>
        <w:tc>
          <w:tcPr>
            <w:tcW w:w="6127" w:type="dxa"/>
          </w:tcPr>
          <w:p w:rsidR="006550C1" w:rsidRPr="000A4744" w:rsidRDefault="00E6069A" w:rsidP="00E6069A">
            <w:pPr>
              <w:autoSpaceDE w:val="0"/>
              <w:autoSpaceDN w:val="0"/>
              <w:adjustRightInd w:val="0"/>
              <w:spacing w:before="60"/>
              <w:rPr>
                <w:rFonts w:cs="Times New Roman"/>
                <w:szCs w:val="24"/>
              </w:rPr>
            </w:pPr>
            <w:r w:rsidRPr="00C3762A">
              <w:rPr>
                <w:rFonts w:cs="Times New Roman"/>
                <w:szCs w:val="24"/>
              </w:rPr>
              <w:t xml:space="preserve">Schopnost </w:t>
            </w:r>
            <w:hyperlink r:id="rId9" w:history="1">
              <w:r w:rsidRPr="00C3762A">
                <w:rPr>
                  <w:rFonts w:cs="Times New Roman"/>
                  <w:szCs w:val="24"/>
                </w:rPr>
                <w:t>systémů</w:t>
              </w:r>
            </w:hyperlink>
            <w:r w:rsidRPr="00C3762A">
              <w:rPr>
                <w:rFonts w:cs="Times New Roman"/>
                <w:szCs w:val="24"/>
              </w:rPr>
              <w:t xml:space="preserve"> vzájemně si poskytovat služby a </w:t>
            </w:r>
            <w:hyperlink r:id="rId10" w:history="1">
              <w:r w:rsidRPr="00C3762A">
                <w:rPr>
                  <w:rFonts w:cs="Times New Roman"/>
                  <w:szCs w:val="24"/>
                </w:rPr>
                <w:t>efekti</w:t>
              </w:r>
              <w:r w:rsidRPr="00C3762A">
                <w:rPr>
                  <w:rFonts w:cs="Times New Roman"/>
                  <w:szCs w:val="24"/>
                </w:rPr>
                <w:t>v</w:t>
              </w:r>
              <w:r w:rsidRPr="00C3762A">
                <w:rPr>
                  <w:rFonts w:cs="Times New Roman"/>
                  <w:szCs w:val="24"/>
                </w:rPr>
                <w:t>ně</w:t>
              </w:r>
            </w:hyperlink>
            <w:r w:rsidRPr="00C3762A">
              <w:rPr>
                <w:rFonts w:cs="Times New Roman"/>
                <w:szCs w:val="24"/>
              </w:rPr>
              <w:t xml:space="preserve"> spolupracovat. Analogicky v případě </w:t>
            </w:r>
            <w:r>
              <w:rPr>
                <w:rFonts w:cs="Times New Roman"/>
                <w:szCs w:val="24"/>
              </w:rPr>
              <w:t>systémů pracujících s prostorovými informacemi</w:t>
            </w:r>
            <w:r w:rsidRPr="00C3762A">
              <w:rPr>
                <w:rFonts w:cs="Times New Roman"/>
                <w:szCs w:val="24"/>
              </w:rPr>
              <w:t>.</w:t>
            </w:r>
          </w:p>
        </w:tc>
      </w:tr>
      <w:tr w:rsidR="006550C1" w:rsidRPr="00EB1761" w:rsidTr="00FA7161">
        <w:tc>
          <w:tcPr>
            <w:tcW w:w="3085" w:type="dxa"/>
          </w:tcPr>
          <w:p w:rsidR="006550C1" w:rsidRPr="00EB1761" w:rsidRDefault="006550C1" w:rsidP="000F0472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Metadata</w:t>
            </w:r>
          </w:p>
        </w:tc>
        <w:tc>
          <w:tcPr>
            <w:tcW w:w="6127" w:type="dxa"/>
          </w:tcPr>
          <w:p w:rsidR="006550C1" w:rsidRPr="00EB1761" w:rsidRDefault="007B0D44" w:rsidP="000F0472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rPr>
                <w:szCs w:val="24"/>
                <w:lang w:eastAsia="cs-CZ"/>
              </w:rPr>
              <w:t xml:space="preserve">Data, která popisují strukturu či obsah dat nebo jiných složek </w:t>
            </w:r>
            <w:r>
              <w:rPr>
                <w:szCs w:val="24"/>
                <w:lang w:eastAsia="cs-CZ"/>
              </w:rPr>
              <w:lastRenderedPageBreak/>
              <w:t xml:space="preserve">informačního systému. Umožňují či usnadňují </w:t>
            </w:r>
            <w:r w:rsidRPr="000A4744">
              <w:rPr>
                <w:szCs w:val="24"/>
                <w:lang w:eastAsia="cs-CZ"/>
              </w:rPr>
              <w:t>jejich vyhl</w:t>
            </w:r>
            <w:r w:rsidRPr="000A4744">
              <w:rPr>
                <w:szCs w:val="24"/>
                <w:lang w:eastAsia="cs-CZ"/>
              </w:rPr>
              <w:t>e</w:t>
            </w:r>
            <w:r w:rsidRPr="000A4744">
              <w:rPr>
                <w:szCs w:val="24"/>
                <w:lang w:eastAsia="cs-CZ"/>
              </w:rPr>
              <w:t>dávání, třídění a používání</w:t>
            </w:r>
            <w:r>
              <w:rPr>
                <w:szCs w:val="24"/>
                <w:lang w:eastAsia="cs-CZ"/>
              </w:rPr>
              <w:t>.</w:t>
            </w:r>
          </w:p>
        </w:tc>
      </w:tr>
      <w:tr w:rsidR="00327233" w:rsidRPr="00EB1761" w:rsidTr="00FA7161">
        <w:tc>
          <w:tcPr>
            <w:tcW w:w="3085" w:type="dxa"/>
          </w:tcPr>
          <w:p w:rsidR="00327233" w:rsidRPr="00EB1761" w:rsidRDefault="00327233" w:rsidP="000F0472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Objekt</w:t>
            </w:r>
          </w:p>
        </w:tc>
        <w:tc>
          <w:tcPr>
            <w:tcW w:w="6127" w:type="dxa"/>
          </w:tcPr>
          <w:p w:rsidR="00327233" w:rsidRPr="00D42A11" w:rsidRDefault="00327233" w:rsidP="00327233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rPr>
                <w:b/>
                <w:bCs/>
              </w:rPr>
              <w:t xml:space="preserve">1: </w:t>
            </w:r>
            <w:r>
              <w:t>jednotlivý jev existující v reálném světě, např. např. řeka, ulice</w:t>
            </w:r>
            <w:r>
              <w:br/>
            </w:r>
            <w:r>
              <w:rPr>
                <w:b/>
                <w:bCs/>
              </w:rPr>
              <w:t>2:</w:t>
            </w:r>
            <w:r>
              <w:t xml:space="preserve"> v modelovém světě synonymum pro entitu nebo geoprvek (vzhled jevu)</w:t>
            </w:r>
            <w:r>
              <w:br/>
            </w:r>
            <w:r>
              <w:rPr>
                <w:b/>
                <w:bCs/>
              </w:rPr>
              <w:t>3:</w:t>
            </w:r>
            <w:r>
              <w:t xml:space="preserve"> soubor entit, jež v rámci určitého datového modelu vytv</w:t>
            </w:r>
            <w:r>
              <w:t>á</w:t>
            </w:r>
            <w:r>
              <w:t>řejí entitu vyšší úrovně</w:t>
            </w:r>
            <w:r>
              <w:br/>
            </w:r>
            <w:r>
              <w:rPr>
                <w:b/>
                <w:bCs/>
              </w:rPr>
              <w:t>4:</w:t>
            </w:r>
            <w:r>
              <w:t xml:space="preserve"> v objektově orientovaném systému je tvořen daty (např. souřadnicemi a atributy objektu reálného světa) a zapouzdř</w:t>
            </w:r>
            <w:r>
              <w:t>e</w:t>
            </w:r>
            <w:r>
              <w:t>ním, v němž jsou uloženy metody nebo operace k tvorbě, manipulaci a výstupu těchto dat</w:t>
            </w:r>
          </w:p>
        </w:tc>
      </w:tr>
      <w:tr w:rsidR="006550C1" w:rsidRPr="00EB1761" w:rsidTr="00FA7161">
        <w:tc>
          <w:tcPr>
            <w:tcW w:w="3085" w:type="dxa"/>
          </w:tcPr>
          <w:p w:rsidR="006550C1" w:rsidRPr="00EB1761" w:rsidRDefault="006550C1" w:rsidP="000F0472">
            <w:pPr>
              <w:spacing w:before="60" w:after="60"/>
              <w:rPr>
                <w:rFonts w:cs="Times New Roman"/>
                <w:szCs w:val="24"/>
              </w:rPr>
            </w:pPr>
            <w:r w:rsidRPr="00EB1761">
              <w:rPr>
                <w:rFonts w:cs="Times New Roman"/>
                <w:szCs w:val="24"/>
              </w:rPr>
              <w:t>Prostorová data</w:t>
            </w:r>
          </w:p>
        </w:tc>
        <w:tc>
          <w:tcPr>
            <w:tcW w:w="6127" w:type="dxa"/>
          </w:tcPr>
          <w:p w:rsidR="00B87BFB" w:rsidRDefault="00B87BFB" w:rsidP="00B87BFB">
            <w:pPr>
              <w:spacing w:before="60"/>
              <w:rPr>
                <w:rFonts w:cs="Times New Roman"/>
                <w:szCs w:val="24"/>
              </w:rPr>
            </w:pPr>
            <w:r w:rsidRPr="00B87BFB">
              <w:rPr>
                <w:rFonts w:cs="Times New Roman"/>
                <w:b/>
                <w:szCs w:val="24"/>
              </w:rPr>
              <w:t>1:</w:t>
            </w:r>
            <w:r>
              <w:rPr>
                <w:rFonts w:cs="Times New Roman"/>
                <w:szCs w:val="24"/>
              </w:rPr>
              <w:t xml:space="preserve"> D</w:t>
            </w:r>
            <w:r w:rsidRPr="00332560">
              <w:rPr>
                <w:rFonts w:cs="Times New Roman"/>
                <w:szCs w:val="24"/>
              </w:rPr>
              <w:t xml:space="preserve">ata, která se vztahují k určitým místům v prostoru a </w:t>
            </w:r>
            <w:r>
              <w:rPr>
                <w:rFonts w:cs="Times New Roman"/>
                <w:szCs w:val="24"/>
              </w:rPr>
              <w:t>u kterých je možné efektivně využít jejích prostorových vlas</w:t>
            </w:r>
            <w:r>
              <w:rPr>
                <w:rFonts w:cs="Times New Roman"/>
                <w:szCs w:val="24"/>
              </w:rPr>
              <w:t>t</w:t>
            </w:r>
            <w:r>
              <w:rPr>
                <w:rFonts w:cs="Times New Roman"/>
                <w:szCs w:val="24"/>
              </w:rPr>
              <w:t>ností, zejména polohy, tvaru a prostorových vztahů</w:t>
            </w:r>
          </w:p>
          <w:p w:rsidR="006550C1" w:rsidRPr="00EB1761" w:rsidRDefault="00B87BFB" w:rsidP="00B87BFB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 w:rsidRPr="00B87BFB">
              <w:rPr>
                <w:rFonts w:cs="Times New Roman"/>
                <w:b/>
                <w:szCs w:val="24"/>
              </w:rPr>
              <w:t>2:</w:t>
            </w:r>
            <w:r>
              <w:rPr>
                <w:rFonts w:cs="Times New Roman"/>
                <w:szCs w:val="24"/>
              </w:rPr>
              <w:t xml:space="preserve"> D</w:t>
            </w:r>
            <w:r w:rsidR="006550C1" w:rsidRPr="00D42A11">
              <w:rPr>
                <w:rFonts w:cs="Times New Roman"/>
                <w:szCs w:val="24"/>
              </w:rPr>
              <w:t>ata o poloze, tvaru a vztazích mezi jevy reálného světa, vyjádřená zpravidla ve formě souřadnic a topologie</w:t>
            </w:r>
          </w:p>
        </w:tc>
      </w:tr>
      <w:tr w:rsidR="006550C1" w:rsidRPr="00C20E7B" w:rsidTr="00FA7161">
        <w:tc>
          <w:tcPr>
            <w:tcW w:w="3085" w:type="dxa"/>
          </w:tcPr>
          <w:p w:rsidR="006550C1" w:rsidRPr="00EB1761" w:rsidRDefault="006550C1" w:rsidP="000F0472">
            <w:pPr>
              <w:spacing w:before="60" w:after="60"/>
              <w:rPr>
                <w:rFonts w:cs="Times New Roman"/>
                <w:szCs w:val="24"/>
              </w:rPr>
            </w:pPr>
            <w:r w:rsidRPr="00EB1761">
              <w:rPr>
                <w:rFonts w:cs="Times New Roman"/>
                <w:szCs w:val="24"/>
              </w:rPr>
              <w:t>Prostorov</w:t>
            </w:r>
            <w:r w:rsidR="00E47CE2">
              <w:rPr>
                <w:rFonts w:cs="Times New Roman"/>
                <w:szCs w:val="24"/>
              </w:rPr>
              <w:t>á</w:t>
            </w:r>
            <w:r w:rsidRPr="00EB1761">
              <w:rPr>
                <w:rFonts w:cs="Times New Roman"/>
                <w:szCs w:val="24"/>
              </w:rPr>
              <w:t xml:space="preserve"> informace</w:t>
            </w:r>
          </w:p>
        </w:tc>
        <w:tc>
          <w:tcPr>
            <w:tcW w:w="6127" w:type="dxa"/>
          </w:tcPr>
          <w:p w:rsidR="006550C1" w:rsidRPr="00C20E7B" w:rsidRDefault="004E563E" w:rsidP="000F0472">
            <w:pPr>
              <w:spacing w:before="60" w:after="60"/>
              <w:jc w:val="left"/>
              <w:rPr>
                <w:szCs w:val="24"/>
                <w:lang w:eastAsia="cs-CZ"/>
              </w:rPr>
            </w:pPr>
            <w:r>
              <w:rPr>
                <w:szCs w:val="24"/>
                <w:lang w:eastAsia="cs-CZ"/>
              </w:rPr>
              <w:t>S</w:t>
            </w:r>
            <w:r w:rsidR="006550C1">
              <w:rPr>
                <w:szCs w:val="24"/>
                <w:lang w:eastAsia="cs-CZ"/>
              </w:rPr>
              <w:t>mysluplná</w:t>
            </w:r>
            <w:r w:rsidR="006550C1" w:rsidRPr="00002A0A">
              <w:rPr>
                <w:szCs w:val="24"/>
                <w:lang w:eastAsia="cs-CZ"/>
              </w:rPr>
              <w:t xml:space="preserve"> interpretac</w:t>
            </w:r>
            <w:r w:rsidR="006550C1">
              <w:rPr>
                <w:szCs w:val="24"/>
                <w:lang w:eastAsia="cs-CZ"/>
              </w:rPr>
              <w:t>e</w:t>
            </w:r>
            <w:r w:rsidR="006550C1" w:rsidRPr="00002A0A">
              <w:rPr>
                <w:szCs w:val="24"/>
                <w:lang w:eastAsia="cs-CZ"/>
              </w:rPr>
              <w:t xml:space="preserve"> prostorových dat a vztahů mezi nimi </w:t>
            </w:r>
          </w:p>
        </w:tc>
      </w:tr>
      <w:tr w:rsidR="004E563E" w:rsidRPr="00C20E7B" w:rsidTr="00FA7161">
        <w:tc>
          <w:tcPr>
            <w:tcW w:w="3085" w:type="dxa"/>
          </w:tcPr>
          <w:p w:rsidR="004E563E" w:rsidRPr="00EB1761" w:rsidRDefault="004E563E" w:rsidP="00ED0BDB">
            <w:pPr>
              <w:spacing w:befor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Prostorové služby</w:t>
            </w:r>
          </w:p>
        </w:tc>
        <w:tc>
          <w:tcPr>
            <w:tcW w:w="6127" w:type="dxa"/>
          </w:tcPr>
          <w:p w:rsidR="004E563E" w:rsidRPr="00EB1761" w:rsidRDefault="004E563E" w:rsidP="00ED0BDB">
            <w:pPr>
              <w:spacing w:before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Služby, které poskytují prostorové informace </w:t>
            </w:r>
            <w:r w:rsidRPr="000A4744">
              <w:rPr>
                <w:szCs w:val="24"/>
                <w:lang w:eastAsia="cs-CZ"/>
              </w:rPr>
              <w:t>prostřednictvím počítačové aplikace</w:t>
            </w:r>
            <w:r>
              <w:rPr>
                <w:szCs w:val="24"/>
                <w:lang w:eastAsia="cs-CZ"/>
              </w:rPr>
              <w:t>.</w:t>
            </w:r>
          </w:p>
        </w:tc>
      </w:tr>
      <w:tr w:rsidR="004E563E" w:rsidRPr="00EB1761" w:rsidTr="00FA7161">
        <w:tc>
          <w:tcPr>
            <w:tcW w:w="3085" w:type="dxa"/>
          </w:tcPr>
          <w:p w:rsidR="004E563E" w:rsidRPr="00EB1761" w:rsidRDefault="004E563E" w:rsidP="00B966AC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szCs w:val="24"/>
              </w:rPr>
              <w:t>R</w:t>
            </w:r>
            <w:r>
              <w:t>eferenční mapový podklad pro GIS</w:t>
            </w:r>
          </w:p>
        </w:tc>
        <w:tc>
          <w:tcPr>
            <w:tcW w:w="6127" w:type="dxa"/>
          </w:tcPr>
          <w:p w:rsidR="004E563E" w:rsidRPr="00EB1761" w:rsidRDefault="004E563E" w:rsidP="000F0472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rPr>
                <w:szCs w:val="24"/>
              </w:rPr>
              <w:t>R</w:t>
            </w:r>
            <w:r>
              <w:t>eferenčním mapovým podkladem pro GIS se rozumí tak</w:t>
            </w:r>
            <w:r>
              <w:t>o</w:t>
            </w:r>
            <w:r>
              <w:t>vé mapové dílo, jehož obsah (zejména polohopisná složka) determinuje svou geometrií (souřadnicemi lomových bodů kresby) příslušné (související) vrstvy GIS, a to při striktním pojetí do té míry, že z tohoto podkladu vycházející geometrie může, resp. má mít v odůvodněných případech přednost před geometrií jinak přesnější (viz princip upřednostnění topol</w:t>
            </w:r>
            <w:r>
              <w:t>o</w:t>
            </w:r>
            <w:r>
              <w:t>gických relací před přesností).</w:t>
            </w:r>
          </w:p>
        </w:tc>
      </w:tr>
      <w:tr w:rsidR="00D61DED" w:rsidRPr="00EB1761" w:rsidTr="00FA7161">
        <w:tc>
          <w:tcPr>
            <w:tcW w:w="3085" w:type="dxa"/>
          </w:tcPr>
          <w:p w:rsidR="00D61DED" w:rsidRDefault="00D61DED" w:rsidP="00B966AC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Referenční rozhraní</w:t>
            </w:r>
          </w:p>
        </w:tc>
        <w:tc>
          <w:tcPr>
            <w:tcW w:w="6127" w:type="dxa"/>
          </w:tcPr>
          <w:p w:rsidR="00D61DED" w:rsidRPr="0070266C" w:rsidRDefault="0070266C" w:rsidP="0070266C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cs="Times New Roman"/>
                <w:szCs w:val="24"/>
              </w:rPr>
            </w:pPr>
            <w:r w:rsidRPr="0070266C">
              <w:rPr>
                <w:rFonts w:cs="Times New Roman"/>
                <w:kern w:val="0"/>
                <w:szCs w:val="24"/>
              </w:rPr>
              <w:t>souhrn právních, technických, organizačních a jiných opatř</w:t>
            </w:r>
            <w:r w:rsidRPr="0070266C">
              <w:rPr>
                <w:rFonts w:cs="Times New Roman"/>
                <w:kern w:val="0"/>
                <w:szCs w:val="24"/>
              </w:rPr>
              <w:t>e</w:t>
            </w:r>
            <w:r w:rsidRPr="0070266C">
              <w:rPr>
                <w:rFonts w:cs="Times New Roman"/>
                <w:kern w:val="0"/>
                <w:szCs w:val="24"/>
              </w:rPr>
              <w:t>ní vytvářejících jednotné integrační prostředí informačních systémů veřejné správy, které poskytuje kvalitní soustavu společných služeb, včetně služeb výměny oprávněně vyž</w:t>
            </w:r>
            <w:r w:rsidRPr="0070266C">
              <w:rPr>
                <w:rFonts w:cs="Times New Roman"/>
                <w:kern w:val="0"/>
                <w:szCs w:val="24"/>
              </w:rPr>
              <w:t>a</w:t>
            </w:r>
            <w:r w:rsidRPr="0070266C">
              <w:rPr>
                <w:rFonts w:cs="Times New Roman"/>
                <w:kern w:val="0"/>
                <w:szCs w:val="24"/>
              </w:rPr>
              <w:t>dovaných informací mezi jednotlivými informačními syst</w:t>
            </w:r>
            <w:r w:rsidRPr="0070266C">
              <w:rPr>
                <w:rFonts w:cs="Times New Roman"/>
                <w:kern w:val="0"/>
                <w:szCs w:val="24"/>
              </w:rPr>
              <w:t>é</w:t>
            </w:r>
            <w:r w:rsidRPr="0070266C">
              <w:rPr>
                <w:rFonts w:cs="Times New Roman"/>
                <w:kern w:val="0"/>
                <w:szCs w:val="24"/>
              </w:rPr>
              <w:t>my orgánů veřejné správy a dalšími subjekty, a to i se syst</w:t>
            </w:r>
            <w:r w:rsidRPr="0070266C">
              <w:rPr>
                <w:rFonts w:cs="Times New Roman"/>
                <w:kern w:val="0"/>
                <w:szCs w:val="24"/>
              </w:rPr>
              <w:t>é</w:t>
            </w:r>
            <w:r w:rsidRPr="0070266C">
              <w:rPr>
                <w:rFonts w:cs="Times New Roman"/>
                <w:kern w:val="0"/>
                <w:szCs w:val="24"/>
              </w:rPr>
              <w:t>my mimo Českou republiku</w:t>
            </w:r>
          </w:p>
        </w:tc>
      </w:tr>
      <w:tr w:rsidR="004E563E" w:rsidRPr="00EB1761" w:rsidTr="00FA7161">
        <w:tc>
          <w:tcPr>
            <w:tcW w:w="3085" w:type="dxa"/>
          </w:tcPr>
          <w:p w:rsidR="004E563E" w:rsidRPr="000A4744" w:rsidRDefault="004E563E" w:rsidP="004E563E">
            <w:pPr>
              <w:spacing w:before="60" w:after="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</w:t>
            </w:r>
            <w:r w:rsidRPr="000A4744">
              <w:rPr>
                <w:rFonts w:cs="Times New Roman"/>
                <w:szCs w:val="24"/>
              </w:rPr>
              <w:t>lužby založené na prostor</w:t>
            </w:r>
            <w:r w:rsidRPr="000A4744">
              <w:rPr>
                <w:rFonts w:cs="Times New Roman"/>
                <w:szCs w:val="24"/>
              </w:rPr>
              <w:t>o</w:t>
            </w:r>
            <w:r w:rsidRPr="000A4744">
              <w:rPr>
                <w:rFonts w:cs="Times New Roman"/>
                <w:szCs w:val="24"/>
              </w:rPr>
              <w:t>vých datech</w:t>
            </w:r>
          </w:p>
        </w:tc>
        <w:tc>
          <w:tcPr>
            <w:tcW w:w="6127" w:type="dxa"/>
          </w:tcPr>
          <w:p w:rsidR="004E563E" w:rsidRPr="00EB1761" w:rsidRDefault="004E563E" w:rsidP="000F0472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rPr>
                <w:szCs w:val="24"/>
                <w:lang w:eastAsia="cs-CZ"/>
              </w:rPr>
              <w:t xml:space="preserve">Služby využívající prostorových dat včetně jejich metadat </w:t>
            </w:r>
            <w:r w:rsidRPr="000A4744">
              <w:rPr>
                <w:szCs w:val="24"/>
                <w:lang w:eastAsia="cs-CZ"/>
              </w:rPr>
              <w:t>prostřednictvím počítačové aplikace</w:t>
            </w:r>
            <w:r>
              <w:rPr>
                <w:szCs w:val="24"/>
                <w:lang w:eastAsia="cs-CZ"/>
              </w:rPr>
              <w:t>.</w:t>
            </w:r>
          </w:p>
        </w:tc>
      </w:tr>
      <w:tr w:rsidR="004E563E" w:rsidRPr="00EB1761" w:rsidTr="006550C1">
        <w:tc>
          <w:tcPr>
            <w:tcW w:w="3085" w:type="dxa"/>
          </w:tcPr>
          <w:p w:rsidR="004E563E" w:rsidRPr="00EB1761" w:rsidRDefault="004E563E" w:rsidP="004E563E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rPr>
                <w:szCs w:val="24"/>
                <w:lang w:eastAsia="cs-CZ"/>
              </w:rPr>
              <w:t>S</w:t>
            </w:r>
            <w:r w:rsidRPr="000A4744">
              <w:rPr>
                <w:szCs w:val="24"/>
                <w:lang w:eastAsia="cs-CZ"/>
              </w:rPr>
              <w:t>oubor prostorových dat</w:t>
            </w:r>
          </w:p>
        </w:tc>
        <w:tc>
          <w:tcPr>
            <w:tcW w:w="6127" w:type="dxa"/>
          </w:tcPr>
          <w:p w:rsidR="004E563E" w:rsidRPr="00EB1761" w:rsidRDefault="004E563E" w:rsidP="000F0472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cs="Times New Roman"/>
                <w:szCs w:val="24"/>
              </w:rPr>
            </w:pPr>
            <w:r w:rsidRPr="000A4744">
              <w:rPr>
                <w:szCs w:val="24"/>
                <w:lang w:eastAsia="cs-CZ"/>
              </w:rPr>
              <w:t>Identifikovatelná skupina prostorových dat</w:t>
            </w:r>
            <w:r>
              <w:rPr>
                <w:szCs w:val="24"/>
                <w:lang w:eastAsia="cs-CZ"/>
              </w:rPr>
              <w:t>, se kterou je možné společně manipulovat a která sdílí určité společné vlastnosti, zejména zdroj a způsob pořízení.</w:t>
            </w:r>
          </w:p>
        </w:tc>
      </w:tr>
      <w:tr w:rsidR="004E563E" w:rsidRPr="006E2924" w:rsidTr="006550C1">
        <w:tc>
          <w:tcPr>
            <w:tcW w:w="3085" w:type="dxa"/>
          </w:tcPr>
          <w:p w:rsidR="004E563E" w:rsidRPr="006E2924" w:rsidRDefault="004E563E" w:rsidP="000F0472">
            <w:pPr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Souřadnicový referenční sy</w:t>
            </w:r>
            <w:r>
              <w:rPr>
                <w:rFonts w:cs="Times New Roman"/>
                <w:szCs w:val="24"/>
              </w:rPr>
              <w:t>s</w:t>
            </w:r>
            <w:r>
              <w:rPr>
                <w:rFonts w:cs="Times New Roman"/>
                <w:szCs w:val="24"/>
              </w:rPr>
              <w:t>tém</w:t>
            </w:r>
          </w:p>
        </w:tc>
        <w:tc>
          <w:tcPr>
            <w:tcW w:w="6127" w:type="dxa"/>
          </w:tcPr>
          <w:p w:rsidR="004E563E" w:rsidRPr="006E2924" w:rsidRDefault="004E563E" w:rsidP="000F0472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cs="Times New Roman"/>
                <w:szCs w:val="24"/>
              </w:rPr>
            </w:pPr>
            <w:r>
              <w:t>soubor matematických pravidel, která definují jednoznačné přiřazení souřadnic prostorovým informacím na zemském tělese, doplněný souborem parametrů, které definují pozici počátku, měřítko a orientaci souřadnicových os na zemském tělese</w:t>
            </w:r>
          </w:p>
        </w:tc>
      </w:tr>
      <w:tr w:rsidR="004E563E" w:rsidRPr="00EB1761" w:rsidTr="00FA7161">
        <w:tc>
          <w:tcPr>
            <w:tcW w:w="3085" w:type="dxa"/>
          </w:tcPr>
          <w:p w:rsidR="004E563E" w:rsidRPr="00EB1761" w:rsidRDefault="004E563E" w:rsidP="000F0472">
            <w:pPr>
              <w:spacing w:before="60" w:after="60"/>
              <w:rPr>
                <w:rFonts w:cs="Times New Roman"/>
                <w:szCs w:val="24"/>
              </w:rPr>
            </w:pPr>
          </w:p>
        </w:tc>
        <w:tc>
          <w:tcPr>
            <w:tcW w:w="6127" w:type="dxa"/>
          </w:tcPr>
          <w:p w:rsidR="004E563E" w:rsidRPr="00EB1761" w:rsidRDefault="004E563E" w:rsidP="000F0472">
            <w:pPr>
              <w:spacing w:before="60" w:after="60"/>
              <w:rPr>
                <w:rFonts w:cs="Times New Roman"/>
                <w:szCs w:val="24"/>
              </w:rPr>
            </w:pPr>
          </w:p>
        </w:tc>
      </w:tr>
    </w:tbl>
    <w:p w:rsidR="00693B2F" w:rsidRDefault="00693B2F" w:rsidP="00D6703B">
      <w:pPr>
        <w:pStyle w:val="Nadpis2"/>
      </w:pPr>
      <w:r w:rsidRPr="00693B2F">
        <w:t>Seznam zkratek</w:t>
      </w:r>
    </w:p>
    <w:p w:rsidR="00A04051" w:rsidRPr="00A04051" w:rsidRDefault="00A04051" w:rsidP="00A04051">
      <w:pPr>
        <w:pStyle w:val="Nadpis2"/>
        <w:numPr>
          <w:ilvl w:val="0"/>
          <w:numId w:val="0"/>
        </w:numPr>
        <w:rPr>
          <w:b w:val="0"/>
          <w:i/>
          <w:sz w:val="24"/>
          <w:szCs w:val="24"/>
        </w:rPr>
      </w:pPr>
      <w:r w:rsidRPr="00A04051">
        <w:rPr>
          <w:i/>
          <w:sz w:val="24"/>
          <w:szCs w:val="24"/>
        </w:rPr>
        <w:t>Poznámka:</w:t>
      </w:r>
      <w:r w:rsidRPr="00A04051">
        <w:rPr>
          <w:b w:val="0"/>
          <w:i/>
          <w:sz w:val="24"/>
          <w:szCs w:val="24"/>
        </w:rPr>
        <w:t xml:space="preserve">  S</w:t>
      </w:r>
      <w:r>
        <w:rPr>
          <w:b w:val="0"/>
          <w:i/>
          <w:sz w:val="24"/>
          <w:szCs w:val="24"/>
        </w:rPr>
        <w:t xml:space="preserve">eznam zkratek je neúplný, </w:t>
      </w:r>
      <w:r w:rsidRPr="00A04051">
        <w:rPr>
          <w:b w:val="0"/>
          <w:i/>
          <w:sz w:val="24"/>
          <w:szCs w:val="24"/>
        </w:rPr>
        <w:t>bude</w:t>
      </w:r>
      <w:r>
        <w:rPr>
          <w:b w:val="0"/>
          <w:i/>
          <w:sz w:val="24"/>
          <w:szCs w:val="24"/>
        </w:rPr>
        <w:t xml:space="preserve"> dopracován.</w:t>
      </w:r>
      <w:r w:rsidRPr="00A04051">
        <w:rPr>
          <w:b w:val="0"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261"/>
      </w:tblGrid>
      <w:tr w:rsidR="00427618" w:rsidRPr="00EB1761" w:rsidTr="00FA7161">
        <w:tc>
          <w:tcPr>
            <w:tcW w:w="1951" w:type="dxa"/>
          </w:tcPr>
          <w:p w:rsidR="00427618" w:rsidRPr="00090D50" w:rsidRDefault="00427618" w:rsidP="0090027F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AAG</w:t>
            </w:r>
          </w:p>
        </w:tc>
        <w:tc>
          <w:tcPr>
            <w:tcW w:w="7261" w:type="dxa"/>
          </w:tcPr>
          <w:p w:rsidR="00427618" w:rsidRDefault="00090D50" w:rsidP="0090027F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t>Association of American Geographers</w:t>
            </w:r>
          </w:p>
        </w:tc>
      </w:tr>
      <w:tr w:rsidR="00B53B94" w:rsidRPr="00EB1761" w:rsidTr="00FA7161">
        <w:tc>
          <w:tcPr>
            <w:tcW w:w="1951" w:type="dxa"/>
          </w:tcPr>
          <w:p w:rsidR="00B53B94" w:rsidRPr="00EB1761" w:rsidRDefault="00B53B94" w:rsidP="0090027F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BI</w:t>
            </w:r>
          </w:p>
        </w:tc>
        <w:tc>
          <w:tcPr>
            <w:tcW w:w="7261" w:type="dxa"/>
          </w:tcPr>
          <w:p w:rsidR="00B53B94" w:rsidRPr="00EB1761" w:rsidRDefault="00B53B94" w:rsidP="0090027F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Business Intelligence, podnikové systémy pro podporu rozhodování</w:t>
            </w:r>
          </w:p>
        </w:tc>
      </w:tr>
      <w:tr w:rsidR="00C3043F" w:rsidRPr="00090D50" w:rsidTr="00FA7161">
        <w:tc>
          <w:tcPr>
            <w:tcW w:w="1951" w:type="dxa"/>
          </w:tcPr>
          <w:p w:rsidR="00C3043F" w:rsidRPr="00090D50" w:rsidRDefault="00C3043F" w:rsidP="0090027F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t>CZ-ISCO</w:t>
            </w:r>
          </w:p>
        </w:tc>
        <w:tc>
          <w:tcPr>
            <w:tcW w:w="7261" w:type="dxa"/>
          </w:tcPr>
          <w:p w:rsidR="00C3043F" w:rsidRPr="00090D50" w:rsidRDefault="00090D50" w:rsidP="0090027F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číselník klasifikace zaměstnání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ČÚZK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Český úřad zeměměřický a katastrální</w:t>
            </w:r>
          </w:p>
        </w:tc>
      </w:tr>
      <w:tr w:rsidR="00382406" w:rsidRPr="00090D50" w:rsidTr="00FA7161">
        <w:tc>
          <w:tcPr>
            <w:tcW w:w="1951" w:type="dxa"/>
          </w:tcPr>
          <w:p w:rsidR="00382406" w:rsidRPr="00090D50" w:rsidRDefault="00382406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DMR</w:t>
            </w:r>
          </w:p>
        </w:tc>
        <w:tc>
          <w:tcPr>
            <w:tcW w:w="7261" w:type="dxa"/>
          </w:tcPr>
          <w:p w:rsidR="00382406" w:rsidRPr="00090D50" w:rsidRDefault="00382406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Digitální model reliéfu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DMVS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Digitální mapa veřejné správy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GIS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Geografický informační systém</w:t>
            </w:r>
          </w:p>
        </w:tc>
      </w:tr>
      <w:tr w:rsidR="00427618" w:rsidRPr="00090D50" w:rsidTr="00FA7161">
        <w:tc>
          <w:tcPr>
            <w:tcW w:w="1951" w:type="dxa"/>
          </w:tcPr>
          <w:p w:rsidR="00427618" w:rsidRPr="00090D50" w:rsidRDefault="00427618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GITA</w:t>
            </w:r>
          </w:p>
        </w:tc>
        <w:tc>
          <w:tcPr>
            <w:tcW w:w="7261" w:type="dxa"/>
          </w:tcPr>
          <w:p w:rsidR="00427618" w:rsidRPr="00090D50" w:rsidRDefault="00090D50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t>Geospatial Information Technology Association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ICT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Informační a komunikační technologie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INSPIRE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b/>
              </w:rPr>
              <w:t>IN</w:t>
            </w:r>
            <w:r w:rsidRPr="00090D50">
              <w:t>frastructure for</w:t>
            </w:r>
            <w:r w:rsidRPr="00090D50">
              <w:rPr>
                <w:b/>
              </w:rPr>
              <w:t xml:space="preserve"> SP</w:t>
            </w:r>
            <w:r w:rsidRPr="00090D50">
              <w:t>atial</w:t>
            </w:r>
            <w:r w:rsidRPr="00090D50">
              <w:rPr>
                <w:b/>
              </w:rPr>
              <w:t xml:space="preserve"> I</w:t>
            </w:r>
            <w:r w:rsidRPr="00090D50">
              <w:t>nfo</w:t>
            </w:r>
            <w:r w:rsidRPr="00090D50">
              <w:rPr>
                <w:b/>
              </w:rPr>
              <w:t>R</w:t>
            </w:r>
            <w:r w:rsidRPr="00090D50">
              <w:t>mation in the</w:t>
            </w:r>
            <w:r w:rsidRPr="00090D50">
              <w:rPr>
                <w:b/>
              </w:rPr>
              <w:t xml:space="preserve"> E</w:t>
            </w:r>
            <w:r w:rsidRPr="00090D50">
              <w:t>uropean Community, infrastruktura pro prostorové informace v Evropském společenství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IS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Informační systém</w:t>
            </w:r>
          </w:p>
        </w:tc>
      </w:tr>
      <w:tr w:rsidR="00C3043F" w:rsidRPr="00090D50" w:rsidTr="00FA7161">
        <w:tc>
          <w:tcPr>
            <w:tcW w:w="1951" w:type="dxa"/>
          </w:tcPr>
          <w:p w:rsidR="00C3043F" w:rsidRPr="00090D50" w:rsidRDefault="00C3043F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t>ISTP</w:t>
            </w:r>
          </w:p>
        </w:tc>
        <w:tc>
          <w:tcPr>
            <w:tcW w:w="7261" w:type="dxa"/>
          </w:tcPr>
          <w:p w:rsidR="00C3043F" w:rsidRPr="00090D50" w:rsidRDefault="00090D50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Integrovaný systém typových pozic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ISVS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Informační systém veřejné správy</w:t>
            </w:r>
          </w:p>
        </w:tc>
      </w:tr>
      <w:tr w:rsidR="00427618" w:rsidRPr="00090D50" w:rsidTr="00FA7161">
        <w:tc>
          <w:tcPr>
            <w:tcW w:w="1951" w:type="dxa"/>
          </w:tcPr>
          <w:p w:rsidR="00427618" w:rsidRPr="00090D50" w:rsidRDefault="00427618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KEN</w:t>
            </w:r>
          </w:p>
        </w:tc>
        <w:tc>
          <w:tcPr>
            <w:tcW w:w="7261" w:type="dxa"/>
          </w:tcPr>
          <w:p w:rsidR="00427618" w:rsidRPr="00090D50" w:rsidRDefault="00090D50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koeficient ekonomické náročnosti</w:t>
            </w:r>
          </w:p>
        </w:tc>
      </w:tr>
      <w:tr w:rsidR="0032714A" w:rsidRPr="00090D50" w:rsidTr="00FA7161">
        <w:tc>
          <w:tcPr>
            <w:tcW w:w="1951" w:type="dxa"/>
          </w:tcPr>
          <w:p w:rsidR="0032714A" w:rsidRPr="00090D50" w:rsidRDefault="0032714A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KOVIN</w:t>
            </w:r>
          </w:p>
        </w:tc>
        <w:tc>
          <w:tcPr>
            <w:tcW w:w="7261" w:type="dxa"/>
          </w:tcPr>
          <w:p w:rsidR="0032714A" w:rsidRPr="00090D50" w:rsidRDefault="0032714A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Koordinační výbor pro implementaci INSPIRE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2F1728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NASAPO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Národní sada prostorových objektů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NIPI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Národní infrastruktura pro prostorové informace</w:t>
            </w:r>
          </w:p>
        </w:tc>
      </w:tr>
      <w:tr w:rsidR="00B53B94" w:rsidRPr="00090D50" w:rsidTr="00FA7161">
        <w:tc>
          <w:tcPr>
            <w:tcW w:w="195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NIPPI</w:t>
            </w:r>
          </w:p>
        </w:tc>
        <w:tc>
          <w:tcPr>
            <w:tcW w:w="7261" w:type="dxa"/>
          </w:tcPr>
          <w:p w:rsidR="00B53B94" w:rsidRPr="00090D50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Národní integrační platforma pro prostorové informace</w:t>
            </w:r>
          </w:p>
        </w:tc>
      </w:tr>
      <w:tr w:rsidR="008B5A88" w:rsidRPr="00090D50" w:rsidTr="00FA7161">
        <w:tc>
          <w:tcPr>
            <w:tcW w:w="1951" w:type="dxa"/>
          </w:tcPr>
          <w:p w:rsidR="008B5A88" w:rsidRPr="00090D50" w:rsidRDefault="008B5A88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NOK</w:t>
            </w:r>
          </w:p>
        </w:tc>
        <w:tc>
          <w:tcPr>
            <w:tcW w:w="7261" w:type="dxa"/>
          </w:tcPr>
          <w:p w:rsidR="008B5A88" w:rsidRPr="00090D50" w:rsidRDefault="008B5A88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Národní koordinační orgán</w:t>
            </w:r>
          </w:p>
        </w:tc>
      </w:tr>
      <w:tr w:rsidR="008B0384" w:rsidRPr="00090D50" w:rsidTr="00FA7161">
        <w:tc>
          <w:tcPr>
            <w:tcW w:w="1951" w:type="dxa"/>
          </w:tcPr>
          <w:p w:rsidR="008B0384" w:rsidRPr="00090D50" w:rsidRDefault="008B038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NSP</w:t>
            </w:r>
          </w:p>
        </w:tc>
        <w:tc>
          <w:tcPr>
            <w:tcW w:w="7261" w:type="dxa"/>
          </w:tcPr>
          <w:p w:rsidR="008B0384" w:rsidRPr="00090D50" w:rsidRDefault="00090D50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Národní soustava povolání</w:t>
            </w:r>
          </w:p>
        </w:tc>
      </w:tr>
      <w:tr w:rsidR="00C44D8B" w:rsidRPr="00090D50" w:rsidTr="00FA7161">
        <w:tc>
          <w:tcPr>
            <w:tcW w:w="1951" w:type="dxa"/>
          </w:tcPr>
          <w:p w:rsidR="00C44D8B" w:rsidRPr="00090D50" w:rsidRDefault="00C44D8B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OGC</w:t>
            </w:r>
          </w:p>
        </w:tc>
        <w:tc>
          <w:tcPr>
            <w:tcW w:w="7261" w:type="dxa"/>
          </w:tcPr>
          <w:p w:rsidR="00C44D8B" w:rsidRPr="00090D50" w:rsidRDefault="00C44D8B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Open Geospatial Consorcium</w:t>
            </w:r>
          </w:p>
        </w:tc>
      </w:tr>
      <w:tr w:rsidR="008C7569" w:rsidRPr="00EB1761" w:rsidTr="00FA7161">
        <w:tc>
          <w:tcPr>
            <w:tcW w:w="1951" w:type="dxa"/>
          </w:tcPr>
          <w:p w:rsidR="008C7569" w:rsidRPr="00090D50" w:rsidRDefault="008C7569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OVM</w:t>
            </w:r>
          </w:p>
        </w:tc>
        <w:tc>
          <w:tcPr>
            <w:tcW w:w="7261" w:type="dxa"/>
          </w:tcPr>
          <w:p w:rsidR="008C7569" w:rsidRDefault="008C7569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090D50">
              <w:rPr>
                <w:rFonts w:cs="Times New Roman"/>
                <w:szCs w:val="24"/>
              </w:rPr>
              <w:t>Orgán veřejné moci</w:t>
            </w:r>
          </w:p>
        </w:tc>
      </w:tr>
      <w:tr w:rsidR="00B53B94" w:rsidRPr="00EB1761" w:rsidTr="00FA7161">
        <w:tc>
          <w:tcPr>
            <w:tcW w:w="1951" w:type="dxa"/>
          </w:tcPr>
          <w:p w:rsidR="00B53B94" w:rsidRPr="00EB1761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PMA</w:t>
            </w:r>
          </w:p>
        </w:tc>
        <w:tc>
          <w:tcPr>
            <w:tcW w:w="7261" w:type="dxa"/>
          </w:tcPr>
          <w:p w:rsidR="00B53B94" w:rsidRPr="00EB1761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Procesní modelování agend (projekt Ministerstva vnitra)</w:t>
            </w:r>
          </w:p>
        </w:tc>
      </w:tr>
      <w:tr w:rsidR="00B53B94" w:rsidRPr="00EB1761" w:rsidTr="00FA7161">
        <w:tc>
          <w:tcPr>
            <w:tcW w:w="1951" w:type="dxa"/>
          </w:tcPr>
          <w:p w:rsidR="00B53B94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PSI</w:t>
            </w:r>
          </w:p>
        </w:tc>
        <w:tc>
          <w:tcPr>
            <w:tcW w:w="7261" w:type="dxa"/>
          </w:tcPr>
          <w:p w:rsidR="00B53B94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Public Sector Information, informace pořízené veřejným sektorem</w:t>
            </w:r>
          </w:p>
        </w:tc>
      </w:tr>
      <w:tr w:rsidR="00B53B94" w:rsidTr="00FA7161">
        <w:tc>
          <w:tcPr>
            <w:tcW w:w="1951" w:type="dxa"/>
          </w:tcPr>
          <w:p w:rsidR="00B53B94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RPP</w:t>
            </w:r>
          </w:p>
        </w:tc>
        <w:tc>
          <w:tcPr>
            <w:tcW w:w="7261" w:type="dxa"/>
          </w:tcPr>
          <w:p w:rsidR="00B53B94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Registr práv a povinností</w:t>
            </w:r>
          </w:p>
        </w:tc>
      </w:tr>
      <w:tr w:rsidR="00B53B94" w:rsidTr="00FA7161">
        <w:tc>
          <w:tcPr>
            <w:tcW w:w="1951" w:type="dxa"/>
          </w:tcPr>
          <w:p w:rsidR="00B53B94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RÚIAN</w:t>
            </w:r>
          </w:p>
        </w:tc>
        <w:tc>
          <w:tcPr>
            <w:tcW w:w="7261" w:type="dxa"/>
          </w:tcPr>
          <w:p w:rsidR="00B53B94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Registr územní identifikace, adres a nemovitostí</w:t>
            </w:r>
          </w:p>
        </w:tc>
      </w:tr>
      <w:tr w:rsidR="00B70FEB" w:rsidRPr="00EB1761" w:rsidTr="00FA7161">
        <w:tc>
          <w:tcPr>
            <w:tcW w:w="1951" w:type="dxa"/>
          </w:tcPr>
          <w:p w:rsidR="00B70FEB" w:rsidRDefault="00B70FEB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ÚAP</w:t>
            </w:r>
          </w:p>
        </w:tc>
        <w:tc>
          <w:tcPr>
            <w:tcW w:w="7261" w:type="dxa"/>
          </w:tcPr>
          <w:p w:rsidR="00B70FEB" w:rsidRDefault="00B70FEB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Územně analytické podklady</w:t>
            </w:r>
          </w:p>
        </w:tc>
      </w:tr>
      <w:tr w:rsidR="00010F5E" w:rsidRPr="00EB1761" w:rsidTr="00FA7161">
        <w:tc>
          <w:tcPr>
            <w:tcW w:w="1951" w:type="dxa"/>
          </w:tcPr>
          <w:p w:rsidR="00010F5E" w:rsidRDefault="00010F5E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szCs w:val="24"/>
                <w:lang w:eastAsia="cs-CZ"/>
              </w:rPr>
              <w:t>ÚÚP ORP</w:t>
            </w:r>
          </w:p>
        </w:tc>
        <w:tc>
          <w:tcPr>
            <w:tcW w:w="7261" w:type="dxa"/>
          </w:tcPr>
          <w:p w:rsidR="00010F5E" w:rsidRDefault="00010F5E" w:rsidP="00010F5E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szCs w:val="24"/>
                <w:lang w:eastAsia="cs-CZ"/>
              </w:rPr>
              <w:t>Úřad územního plánování obce s rozšířenou působností</w:t>
            </w:r>
          </w:p>
        </w:tc>
      </w:tr>
      <w:tr w:rsidR="00B53B94" w:rsidRPr="00EB1761" w:rsidTr="00FA7161">
        <w:tc>
          <w:tcPr>
            <w:tcW w:w="1951" w:type="dxa"/>
          </w:tcPr>
          <w:p w:rsidR="00B53B94" w:rsidRPr="00EB1761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VÚGTK</w:t>
            </w:r>
          </w:p>
        </w:tc>
        <w:tc>
          <w:tcPr>
            <w:tcW w:w="7261" w:type="dxa"/>
          </w:tcPr>
          <w:p w:rsidR="00B53B94" w:rsidRPr="00EB1761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Výzkumný ústav geodetický, topografický a kartografický</w:t>
            </w:r>
          </w:p>
        </w:tc>
      </w:tr>
      <w:tr w:rsidR="00DD1BC1" w:rsidRPr="00EB1761" w:rsidTr="00FA7161">
        <w:tc>
          <w:tcPr>
            <w:tcW w:w="1951" w:type="dxa"/>
          </w:tcPr>
          <w:p w:rsidR="00DD1BC1" w:rsidRPr="00FC7BBC" w:rsidRDefault="00DD1BC1" w:rsidP="00FA7161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cs-CZ"/>
              </w:rPr>
            </w:pPr>
            <w:r w:rsidRPr="00FC7BBC">
              <w:rPr>
                <w:rFonts w:eastAsia="Times New Roman" w:cs="Times New Roman"/>
                <w:szCs w:val="24"/>
                <w:lang w:eastAsia="cs-CZ"/>
              </w:rPr>
              <w:t>WCS</w:t>
            </w:r>
          </w:p>
        </w:tc>
        <w:tc>
          <w:tcPr>
            <w:tcW w:w="7261" w:type="dxa"/>
          </w:tcPr>
          <w:p w:rsidR="00DD1BC1" w:rsidRDefault="00C44D8B" w:rsidP="00FA7161">
            <w:pPr>
              <w:spacing w:before="100" w:beforeAutospacing="1" w:after="100" w:afterAutospacing="1"/>
              <w:rPr>
                <w:szCs w:val="24"/>
                <w:lang w:eastAsia="cs-CZ"/>
              </w:rPr>
            </w:pPr>
            <w:r>
              <w:rPr>
                <w:szCs w:val="24"/>
                <w:lang w:eastAsia="cs-CZ"/>
              </w:rPr>
              <w:t>Web Coverage Service</w:t>
            </w:r>
          </w:p>
        </w:tc>
      </w:tr>
      <w:tr w:rsidR="00DD1BC1" w:rsidRPr="00EB1761" w:rsidTr="00FA7161">
        <w:tc>
          <w:tcPr>
            <w:tcW w:w="1951" w:type="dxa"/>
          </w:tcPr>
          <w:p w:rsidR="00DD1BC1" w:rsidRDefault="00DD1BC1" w:rsidP="00FA7161">
            <w:pPr>
              <w:spacing w:before="100" w:beforeAutospacing="1" w:after="100" w:afterAutospacing="1"/>
              <w:rPr>
                <w:szCs w:val="24"/>
                <w:lang w:eastAsia="cs-CZ"/>
              </w:rPr>
            </w:pPr>
            <w:r w:rsidRPr="00FC7BBC">
              <w:rPr>
                <w:rFonts w:eastAsia="Times New Roman" w:cs="Times New Roman"/>
                <w:szCs w:val="24"/>
                <w:lang w:eastAsia="cs-CZ"/>
              </w:rPr>
              <w:t>WFS</w:t>
            </w:r>
          </w:p>
        </w:tc>
        <w:tc>
          <w:tcPr>
            <w:tcW w:w="7261" w:type="dxa"/>
          </w:tcPr>
          <w:p w:rsidR="00DD1BC1" w:rsidRDefault="00C44D8B" w:rsidP="00FA7161">
            <w:pPr>
              <w:spacing w:before="100" w:beforeAutospacing="1" w:after="100" w:afterAutospacing="1"/>
              <w:rPr>
                <w:szCs w:val="24"/>
                <w:lang w:eastAsia="cs-CZ"/>
              </w:rPr>
            </w:pPr>
            <w:r>
              <w:rPr>
                <w:szCs w:val="24"/>
                <w:lang w:eastAsia="cs-CZ"/>
              </w:rPr>
              <w:t xml:space="preserve">Web Feature Service </w:t>
            </w:r>
          </w:p>
        </w:tc>
      </w:tr>
      <w:tr w:rsidR="000B31B0" w:rsidRPr="00EB1761" w:rsidTr="00FA7161">
        <w:tc>
          <w:tcPr>
            <w:tcW w:w="1951" w:type="dxa"/>
          </w:tcPr>
          <w:p w:rsidR="000B31B0" w:rsidRPr="00F91B6D" w:rsidRDefault="000B31B0" w:rsidP="00FA7161">
            <w:pPr>
              <w:spacing w:before="100" w:beforeAutospacing="1" w:after="100" w:afterAutospacing="1"/>
              <w:rPr>
                <w:szCs w:val="24"/>
                <w:lang w:eastAsia="cs-CZ"/>
              </w:rPr>
            </w:pPr>
            <w:r>
              <w:rPr>
                <w:szCs w:val="24"/>
                <w:lang w:eastAsia="cs-CZ"/>
              </w:rPr>
              <w:t>WGS84</w:t>
            </w:r>
          </w:p>
        </w:tc>
        <w:tc>
          <w:tcPr>
            <w:tcW w:w="7261" w:type="dxa"/>
          </w:tcPr>
          <w:p w:rsidR="000B31B0" w:rsidRDefault="000B31B0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szCs w:val="24"/>
                <w:lang w:eastAsia="cs-CZ"/>
              </w:rPr>
              <w:t>Světový geodetický systém World Geodetic System 1984</w:t>
            </w:r>
          </w:p>
        </w:tc>
      </w:tr>
      <w:tr w:rsidR="00DD1BC1" w:rsidRPr="00EB1761" w:rsidTr="00FA7161">
        <w:tc>
          <w:tcPr>
            <w:tcW w:w="1951" w:type="dxa"/>
          </w:tcPr>
          <w:p w:rsidR="00DD1BC1" w:rsidRDefault="00DD1BC1" w:rsidP="00FA7161">
            <w:pPr>
              <w:spacing w:before="100" w:beforeAutospacing="1" w:after="100" w:afterAutospacing="1"/>
              <w:rPr>
                <w:szCs w:val="24"/>
                <w:lang w:eastAsia="cs-CZ"/>
              </w:rPr>
            </w:pPr>
            <w:r w:rsidRPr="00FC7BBC">
              <w:rPr>
                <w:rFonts w:eastAsia="Times New Roman" w:cs="Times New Roman"/>
                <w:szCs w:val="24"/>
                <w:lang w:eastAsia="cs-CZ"/>
              </w:rPr>
              <w:t>WMS</w:t>
            </w:r>
          </w:p>
        </w:tc>
        <w:tc>
          <w:tcPr>
            <w:tcW w:w="7261" w:type="dxa"/>
          </w:tcPr>
          <w:p w:rsidR="00DD1BC1" w:rsidRDefault="00C44D8B" w:rsidP="00FA7161">
            <w:pPr>
              <w:spacing w:before="100" w:beforeAutospacing="1" w:after="100" w:afterAutospacing="1"/>
              <w:rPr>
                <w:szCs w:val="24"/>
                <w:lang w:eastAsia="cs-CZ"/>
              </w:rPr>
            </w:pPr>
            <w:r>
              <w:rPr>
                <w:szCs w:val="24"/>
                <w:lang w:eastAsia="cs-CZ"/>
              </w:rPr>
              <w:t>Web Map Services</w:t>
            </w:r>
          </w:p>
        </w:tc>
      </w:tr>
      <w:tr w:rsidR="00DD1BC1" w:rsidRPr="00EB1761" w:rsidTr="00FA7161">
        <w:tc>
          <w:tcPr>
            <w:tcW w:w="1951" w:type="dxa"/>
          </w:tcPr>
          <w:p w:rsidR="00DD1BC1" w:rsidRPr="00FC7BBC" w:rsidRDefault="00DD1BC1" w:rsidP="00FA7161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cs-CZ"/>
              </w:rPr>
            </w:pPr>
            <w:r w:rsidRPr="00FC7BBC">
              <w:rPr>
                <w:rFonts w:eastAsia="Times New Roman" w:cs="Times New Roman"/>
                <w:szCs w:val="24"/>
                <w:lang w:eastAsia="cs-CZ"/>
              </w:rPr>
              <w:t>WMTS</w:t>
            </w:r>
          </w:p>
        </w:tc>
        <w:tc>
          <w:tcPr>
            <w:tcW w:w="7261" w:type="dxa"/>
          </w:tcPr>
          <w:p w:rsidR="00DD1BC1" w:rsidRDefault="00C44D8B" w:rsidP="00FA7161">
            <w:pPr>
              <w:spacing w:before="100" w:beforeAutospacing="1" w:after="100" w:afterAutospacing="1"/>
              <w:rPr>
                <w:szCs w:val="24"/>
                <w:lang w:eastAsia="cs-CZ"/>
              </w:rPr>
            </w:pPr>
            <w:r>
              <w:rPr>
                <w:szCs w:val="24"/>
                <w:lang w:eastAsia="cs-CZ"/>
              </w:rPr>
              <w:t>Web Map Tile Service</w:t>
            </w:r>
          </w:p>
        </w:tc>
      </w:tr>
      <w:tr w:rsidR="00B53B94" w:rsidRPr="00EB1761" w:rsidTr="00FA7161">
        <w:tc>
          <w:tcPr>
            <w:tcW w:w="1951" w:type="dxa"/>
          </w:tcPr>
          <w:p w:rsidR="00B53B94" w:rsidRPr="00EB1761" w:rsidRDefault="00A17BB7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 w:rsidRPr="00F91B6D">
              <w:rPr>
                <w:szCs w:val="24"/>
                <w:lang w:eastAsia="cs-CZ"/>
              </w:rPr>
              <w:t>ZABAGED</w:t>
            </w:r>
            <w:r w:rsidR="009D1D37">
              <w:rPr>
                <w:szCs w:val="24"/>
                <w:vertAlign w:val="superscript"/>
              </w:rPr>
              <w:t>®</w:t>
            </w:r>
          </w:p>
        </w:tc>
        <w:tc>
          <w:tcPr>
            <w:tcW w:w="7261" w:type="dxa"/>
          </w:tcPr>
          <w:p w:rsidR="00B53B94" w:rsidRPr="00EB1761" w:rsidRDefault="00A17BB7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Základní báze geografických dat</w:t>
            </w:r>
          </w:p>
        </w:tc>
      </w:tr>
      <w:tr w:rsidR="00B53B94" w:rsidRPr="00EB1761" w:rsidTr="00FA7161">
        <w:tc>
          <w:tcPr>
            <w:tcW w:w="1951" w:type="dxa"/>
          </w:tcPr>
          <w:p w:rsidR="00B53B94" w:rsidRPr="00EB1761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</w:p>
        </w:tc>
        <w:tc>
          <w:tcPr>
            <w:tcW w:w="7261" w:type="dxa"/>
          </w:tcPr>
          <w:p w:rsidR="00B53B94" w:rsidRPr="00EB1761" w:rsidRDefault="00B53B94" w:rsidP="00FA7161">
            <w:pPr>
              <w:spacing w:before="100" w:beforeAutospacing="1" w:after="100" w:afterAutospacing="1"/>
              <w:rPr>
                <w:rFonts w:cs="Times New Roman"/>
                <w:szCs w:val="24"/>
              </w:rPr>
            </w:pPr>
          </w:p>
        </w:tc>
      </w:tr>
      <w:tr w:rsidR="00B53B94" w:rsidRPr="00EB1761" w:rsidTr="00FA7161">
        <w:tc>
          <w:tcPr>
            <w:tcW w:w="1951" w:type="dxa"/>
          </w:tcPr>
          <w:p w:rsidR="00B53B94" w:rsidRPr="00EB1761" w:rsidRDefault="00B53B94" w:rsidP="00FA7161">
            <w:pPr>
              <w:spacing w:before="60" w:after="60"/>
              <w:rPr>
                <w:rFonts w:cs="Times New Roman"/>
                <w:szCs w:val="24"/>
              </w:rPr>
            </w:pPr>
          </w:p>
        </w:tc>
        <w:tc>
          <w:tcPr>
            <w:tcW w:w="7261" w:type="dxa"/>
          </w:tcPr>
          <w:p w:rsidR="00B53B94" w:rsidRPr="00EB1761" w:rsidRDefault="00B53B94" w:rsidP="00FA7161">
            <w:pPr>
              <w:spacing w:before="60" w:after="60"/>
              <w:rPr>
                <w:rFonts w:cs="Times New Roman"/>
                <w:szCs w:val="24"/>
              </w:rPr>
            </w:pPr>
          </w:p>
        </w:tc>
      </w:tr>
    </w:tbl>
    <w:p w:rsidR="0067315D" w:rsidRDefault="001A4F72" w:rsidP="006A4645">
      <w:pPr>
        <w:pStyle w:val="Nadpis2"/>
      </w:pPr>
      <w:r>
        <w:lastRenderedPageBreak/>
        <w:t>P</w:t>
      </w:r>
      <w:r w:rsidR="008115B0">
        <w:t>řehled použitých zdrojů</w:t>
      </w:r>
    </w:p>
    <w:p w:rsidR="00A04051" w:rsidRPr="00A04051" w:rsidRDefault="00A04051" w:rsidP="00A04051">
      <w:pPr>
        <w:rPr>
          <w:lang w:eastAsia="cs-CZ"/>
        </w:rPr>
      </w:pPr>
      <w:r w:rsidRPr="00A04051">
        <w:rPr>
          <w:b/>
          <w:i/>
          <w:szCs w:val="24"/>
        </w:rPr>
        <w:t xml:space="preserve">Poznámka:  </w:t>
      </w:r>
      <w:r>
        <w:rPr>
          <w:i/>
          <w:szCs w:val="24"/>
        </w:rPr>
        <w:t xml:space="preserve">Přehled použitých zdrojů </w:t>
      </w:r>
      <w:r w:rsidRPr="00A04051">
        <w:rPr>
          <w:i/>
          <w:szCs w:val="24"/>
        </w:rPr>
        <w:t>je neúplný, bude dopracován.</w:t>
      </w:r>
    </w:p>
    <w:p w:rsidR="00BB0204" w:rsidRPr="00231F4E" w:rsidRDefault="00BB0204" w:rsidP="00231F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60" w:line="240" w:lineRule="auto"/>
        <w:ind w:left="357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31F4E">
        <w:rPr>
          <w:rFonts w:ascii="Times New Roman" w:hAnsi="Times New Roman" w:cs="Times New Roman"/>
          <w:color w:val="000000"/>
          <w:sz w:val="24"/>
          <w:szCs w:val="24"/>
        </w:rPr>
        <w:t>DiBiase</w:t>
      </w:r>
      <w:r w:rsidR="00C151CB" w:rsidRPr="00231F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D., DeMers</w:t>
      </w:r>
      <w:r w:rsidR="00C151CB" w:rsidRPr="00231F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M., Johnson</w:t>
      </w:r>
      <w:r w:rsidR="00C151CB" w:rsidRPr="00231F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A., Kemp</w:t>
      </w:r>
      <w:r w:rsidR="00C151CB" w:rsidRPr="00231F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K., Luck</w:t>
      </w:r>
      <w:r w:rsidR="00C151CB" w:rsidRPr="00231F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A.</w:t>
      </w:r>
      <w:r w:rsidR="00231F4E"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>T., Plewe</w:t>
      </w:r>
      <w:r w:rsidR="00C151CB" w:rsidRPr="00231F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B., Wentz</w:t>
      </w:r>
      <w:r w:rsidR="00C151CB" w:rsidRPr="00231F4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 xml:space="preserve"> E. (Eds.) (2006): Geographic Information Science and Technology Body of Knowledge. University Consortium for Geographic Information Science. Association of American Geographers, 1.</w:t>
      </w:r>
      <w:r w:rsidR="00231F4E" w:rsidRPr="00231F4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31F4E">
        <w:rPr>
          <w:rFonts w:ascii="Times New Roman" w:hAnsi="Times New Roman" w:cs="Times New Roman"/>
          <w:color w:val="000000"/>
          <w:sz w:val="24"/>
          <w:szCs w:val="24"/>
        </w:rPr>
        <w:t>vydání, 2006.</w:t>
      </w:r>
    </w:p>
    <w:p w:rsidR="00BB0204" w:rsidRPr="00B073D2" w:rsidRDefault="00BB0204" w:rsidP="00231F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60" w:line="240" w:lineRule="auto"/>
        <w:ind w:left="357" w:hanging="357"/>
        <w:contextualSpacing w:val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31F4E">
        <w:rPr>
          <w:rFonts w:ascii="Times New Roman" w:hAnsi="Times New Roman" w:cs="Times New Roman"/>
          <w:sz w:val="24"/>
          <w:szCs w:val="24"/>
        </w:rPr>
        <w:t>Matějů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P., Ježek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F., Münich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D., Polechová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P., Slovák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J., Straková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J., Václavík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D., Weidnerová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S., Zrzavý</w:t>
      </w:r>
      <w:r w:rsidR="00D83C4C" w:rsidRPr="00231F4E">
        <w:rPr>
          <w:rFonts w:ascii="Times New Roman" w:hAnsi="Times New Roman" w:cs="Times New Roman"/>
          <w:sz w:val="24"/>
          <w:szCs w:val="24"/>
        </w:rPr>
        <w:t>,</w:t>
      </w:r>
      <w:r w:rsidRPr="00231F4E">
        <w:rPr>
          <w:rFonts w:ascii="Times New Roman" w:hAnsi="Times New Roman" w:cs="Times New Roman"/>
          <w:sz w:val="24"/>
          <w:szCs w:val="24"/>
        </w:rPr>
        <w:t xml:space="preserve"> J. (2009): Bílá kniha terciérního vzdělávání. </w:t>
      </w:r>
      <w:r w:rsidR="00C151CB" w:rsidRPr="00231F4E">
        <w:rPr>
          <w:rFonts w:ascii="Times New Roman" w:hAnsi="Times New Roman" w:cs="Times New Roman"/>
          <w:sz w:val="24"/>
          <w:szCs w:val="24"/>
        </w:rPr>
        <w:t xml:space="preserve">Praha: </w:t>
      </w:r>
      <w:r w:rsidRPr="00231F4E">
        <w:rPr>
          <w:rFonts w:ascii="Times New Roman" w:hAnsi="Times New Roman" w:cs="Times New Roman"/>
          <w:sz w:val="24"/>
          <w:szCs w:val="24"/>
        </w:rPr>
        <w:t>MŠMT ČR</w:t>
      </w:r>
      <w:r w:rsidR="00C151CB" w:rsidRPr="00231F4E">
        <w:rPr>
          <w:rFonts w:ascii="Times New Roman" w:hAnsi="Times New Roman" w:cs="Times New Roman"/>
          <w:sz w:val="24"/>
          <w:szCs w:val="24"/>
        </w:rPr>
        <w:t>, 2009</w:t>
      </w:r>
      <w:r w:rsidRPr="00231F4E">
        <w:rPr>
          <w:rFonts w:ascii="Times New Roman" w:hAnsi="Times New Roman" w:cs="Times New Roman"/>
          <w:sz w:val="24"/>
          <w:szCs w:val="24"/>
        </w:rPr>
        <w:t xml:space="preserve">. </w:t>
      </w:r>
      <w:r w:rsidR="00C151CB" w:rsidRPr="00231F4E">
        <w:rPr>
          <w:rFonts w:ascii="Times New Roman" w:hAnsi="Times New Roman" w:cs="Times New Roman"/>
          <w:sz w:val="24"/>
          <w:szCs w:val="24"/>
        </w:rPr>
        <w:t>[online] Dostupné z WWW: &lt;</w:t>
      </w:r>
      <w:hyperlink r:id="rId11" w:history="1">
        <w:r w:rsidRPr="00231F4E">
          <w:rPr>
            <w:rStyle w:val="Hypertextovodkaz"/>
            <w:rFonts w:ascii="Times New Roman" w:hAnsi="Times New Roman" w:cs="Times New Roman"/>
            <w:sz w:val="24"/>
            <w:szCs w:val="24"/>
          </w:rPr>
          <w:t>http://www.upol.cz/fileadmin/user_upload/LF-dokumenty/BKTV.pdf</w:t>
        </w:r>
      </w:hyperlink>
      <w:r w:rsidR="00C151CB" w:rsidRPr="00231F4E">
        <w:rPr>
          <w:rStyle w:val="Hypertextovodkaz"/>
          <w:rFonts w:ascii="Times New Roman" w:hAnsi="Times New Roman" w:cs="Times New Roman"/>
          <w:sz w:val="24"/>
          <w:szCs w:val="24"/>
        </w:rPr>
        <w:t>&gt;</w:t>
      </w:r>
    </w:p>
    <w:p w:rsidR="00B073D2" w:rsidRPr="00B073D2" w:rsidRDefault="00B073D2" w:rsidP="00231F4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60" w:line="240" w:lineRule="auto"/>
        <w:ind w:left="357" w:hanging="357"/>
        <w:contextualSpacing w:val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31F4E">
        <w:rPr>
          <w:rFonts w:ascii="Times New Roman" w:hAnsi="Times New Roman" w:cs="Times New Roman"/>
          <w:sz w:val="24"/>
          <w:szCs w:val="24"/>
        </w:rPr>
        <w:t>Strategie CU (2007): Strategie celoživotního učení ČR 2007-2015. Praha: MŠMT ČR, 2007, 92 stran. ISBN 978-80-254-2218-2. [online] Dostupné z WWW: &lt;</w:t>
      </w:r>
      <w:hyperlink r:id="rId12" w:history="1">
        <w:r w:rsidRPr="00231F4E">
          <w:rPr>
            <w:rStyle w:val="Hypertextovodkaz"/>
            <w:rFonts w:ascii="Times New Roman" w:hAnsi="Times New Roman" w:cs="Times New Roman"/>
            <w:sz w:val="24"/>
            <w:szCs w:val="24"/>
          </w:rPr>
          <w:t>http://www.msmt.cz/mezinarodni-vztahy/publikace-strategie-celozivotniho-uceni-cr</w:t>
        </w:r>
      </w:hyperlink>
      <w:r>
        <w:rPr>
          <w:rStyle w:val="Hypertextovodkaz"/>
        </w:rPr>
        <w:t>&gt;</w:t>
      </w:r>
    </w:p>
    <w:p w:rsidR="00B073D2" w:rsidRDefault="003D11CB" w:rsidP="00C900AA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60" w:line="240" w:lineRule="auto"/>
        <w:ind w:left="357" w:hanging="357"/>
        <w:contextualSpacing w:val="0"/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Výzkumný projekt</w:t>
      </w:r>
      <w:r w:rsidR="00EF05A2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EF05A2" w:rsidRPr="00EF05A2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Licenční politika státu při poskytování a sdílení dat z informačních systémů</w:t>
      </w:r>
      <w:r w:rsidR="006F3911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090D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Praha,</w:t>
      </w:r>
      <w:r w:rsidR="00090D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090D50" w:rsidRPr="00EF05A2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>Centire</w:t>
      </w:r>
      <w:r w:rsidR="00090D50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 Czech s.r.o.</w:t>
      </w:r>
      <w:r w:rsidR="002D24AF"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  <w:t xml:space="preserve">, 2010 </w:t>
      </w:r>
    </w:p>
    <w:p w:rsidR="002F1728" w:rsidRDefault="002F1728" w:rsidP="002F1728">
      <w:pPr>
        <w:pStyle w:val="Nadpis2"/>
      </w:pPr>
      <w:r>
        <w:t>Seznam obrázků</w:t>
      </w:r>
    </w:p>
    <w:p w:rsidR="002F1728" w:rsidRDefault="001411D5" w:rsidP="002F1728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Datové sady z produkce ČÚZK</w:t>
      </w:r>
    </w:p>
    <w:p w:rsidR="001411D5" w:rsidRDefault="001411D5" w:rsidP="002F1728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Geoportál ČÚZK</w:t>
      </w:r>
    </w:p>
    <w:p w:rsidR="00CA4952" w:rsidRDefault="00CA4952" w:rsidP="002F1728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Národní geoportál INSPIRE</w:t>
      </w:r>
    </w:p>
    <w:p w:rsidR="008D012D" w:rsidRDefault="008D012D" w:rsidP="002F1728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Schéma NIPPI</w:t>
      </w:r>
    </w:p>
    <w:p w:rsidR="008D012D" w:rsidRPr="002F1728" w:rsidRDefault="008D012D" w:rsidP="002F1728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Schéma Národního geoportálu</w:t>
      </w:r>
    </w:p>
    <w:p w:rsidR="002F1728" w:rsidRDefault="002F1728" w:rsidP="002F1728">
      <w:pPr>
        <w:pStyle w:val="Nadpis2"/>
      </w:pPr>
      <w:r>
        <w:t>Přílohy</w:t>
      </w:r>
    </w:p>
    <w:p w:rsidR="002F1728" w:rsidRPr="004B21AA" w:rsidRDefault="004B21AA" w:rsidP="002F1728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4B21AA">
        <w:rPr>
          <w:rFonts w:ascii="Times New Roman" w:hAnsi="Times New Roman" w:cs="Times New Roman"/>
          <w:sz w:val="24"/>
          <w:szCs w:val="24"/>
        </w:rPr>
        <w:t>Příklady pro implementaci služeb nad prostorovými informacemi</w:t>
      </w:r>
    </w:p>
    <w:p w:rsidR="00467C08" w:rsidRPr="00B073D2" w:rsidRDefault="00467C08" w:rsidP="00B073D2">
      <w:pPr>
        <w:pStyle w:val="Odstavecseseznamem"/>
        <w:spacing w:before="60" w:line="240" w:lineRule="auto"/>
        <w:ind w:left="357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</w:p>
    <w:sectPr w:rsidR="00467C08" w:rsidRPr="00B073D2" w:rsidSect="00B91D0A"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C16D3A" w15:done="0"/>
  <w15:commentEx w15:paraId="4E880E8E" w15:done="0"/>
  <w15:commentEx w15:paraId="54A3382C" w15:done="0"/>
  <w15:commentEx w15:paraId="14AEE0FB" w15:done="0"/>
  <w15:commentEx w15:paraId="13F9AD5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CFC" w:rsidRDefault="00BF2CFC" w:rsidP="00135D89">
      <w:r>
        <w:separator/>
      </w:r>
    </w:p>
  </w:endnote>
  <w:endnote w:type="continuationSeparator" w:id="0">
    <w:p w:rsidR="00BF2CFC" w:rsidRDefault="00BF2CFC" w:rsidP="00135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206756248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451E07" w:rsidRPr="006D721D" w:rsidRDefault="00451E07" w:rsidP="00C72758">
            <w:pPr>
              <w:pStyle w:val="Zpat"/>
              <w:jc w:val="center"/>
              <w:rPr>
                <w:sz w:val="20"/>
                <w:szCs w:val="20"/>
              </w:rPr>
            </w:pPr>
            <w:r w:rsidRPr="006D721D">
              <w:rPr>
                <w:sz w:val="20"/>
                <w:szCs w:val="20"/>
              </w:rPr>
              <w:t xml:space="preserve">Stránka </w:t>
            </w:r>
            <w:r w:rsidR="002F6CE6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PAGE</w:instrText>
            </w:r>
            <w:r w:rsidR="002F6CE6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724F1E">
              <w:rPr>
                <w:b/>
                <w:bCs/>
                <w:noProof/>
                <w:sz w:val="20"/>
                <w:szCs w:val="20"/>
              </w:rPr>
              <w:t>10</w:t>
            </w:r>
            <w:r w:rsidR="002F6CE6" w:rsidRPr="006D721D">
              <w:rPr>
                <w:b/>
                <w:bCs/>
                <w:sz w:val="20"/>
                <w:szCs w:val="20"/>
              </w:rPr>
              <w:fldChar w:fldCharType="end"/>
            </w:r>
            <w:r w:rsidRPr="006D721D">
              <w:rPr>
                <w:sz w:val="20"/>
                <w:szCs w:val="20"/>
              </w:rPr>
              <w:t xml:space="preserve"> z </w:t>
            </w:r>
            <w:r w:rsidR="002F6CE6" w:rsidRPr="006D721D">
              <w:rPr>
                <w:b/>
                <w:bCs/>
                <w:sz w:val="20"/>
                <w:szCs w:val="20"/>
              </w:rPr>
              <w:fldChar w:fldCharType="begin"/>
            </w:r>
            <w:r w:rsidRPr="006D721D">
              <w:rPr>
                <w:b/>
                <w:bCs/>
                <w:sz w:val="20"/>
                <w:szCs w:val="20"/>
              </w:rPr>
              <w:instrText>NUMPAGES</w:instrText>
            </w:r>
            <w:r w:rsidR="002F6CE6" w:rsidRPr="006D721D">
              <w:rPr>
                <w:b/>
                <w:bCs/>
                <w:sz w:val="20"/>
                <w:szCs w:val="20"/>
              </w:rPr>
              <w:fldChar w:fldCharType="separate"/>
            </w:r>
            <w:r w:rsidR="00724F1E">
              <w:rPr>
                <w:b/>
                <w:bCs/>
                <w:noProof/>
                <w:sz w:val="20"/>
                <w:szCs w:val="20"/>
              </w:rPr>
              <w:t>10</w:t>
            </w:r>
            <w:r w:rsidR="002F6CE6" w:rsidRPr="006D721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1E07" w:rsidRDefault="00451E0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CFC" w:rsidRDefault="00BF2CFC" w:rsidP="00135D89">
      <w:r>
        <w:separator/>
      </w:r>
    </w:p>
  </w:footnote>
  <w:footnote w:type="continuationSeparator" w:id="0">
    <w:p w:rsidR="00BF2CFC" w:rsidRDefault="00BF2CFC" w:rsidP="00135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7E2" w:rsidRDefault="002217E2">
    <w:pPr>
      <w:pStyle w:val="Zhlav"/>
    </w:pPr>
    <w:r>
      <w:rPr>
        <w:noProof/>
        <w:lang w:eastAsia="cs-CZ"/>
      </w:rPr>
      <w:drawing>
        <wp:inline distT="0" distB="0" distL="0" distR="0">
          <wp:extent cx="810895" cy="222885"/>
          <wp:effectExtent l="19050" t="0" r="8255" b="0"/>
          <wp:docPr id="17" name="obrázek 17" descr="M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MV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222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>
          <wp:extent cx="445135" cy="230505"/>
          <wp:effectExtent l="19050" t="0" r="0" b="0"/>
          <wp:docPr id="18" name="obrázek 18" descr="Logo-CUZ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-CUZ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13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>
          <wp:extent cx="1089025" cy="198755"/>
          <wp:effectExtent l="1905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98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s-CZ"/>
      </w:rPr>
      <w:drawing>
        <wp:inline distT="0" distB="0" distL="0" distR="0">
          <wp:extent cx="1534795" cy="207010"/>
          <wp:effectExtent l="19050" t="0" r="8255" b="0"/>
          <wp:docPr id="20" name="obrázek 20" descr="logo_MŽ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logo_MŽP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>
          <wp:extent cx="946150" cy="207010"/>
          <wp:effectExtent l="19050" t="0" r="6350" b="0"/>
          <wp:docPr id="21" name="obrázek 21" descr="130523_logo_mm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130523_logo_mm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cs-CZ"/>
      </w:rPr>
      <w:drawing>
        <wp:inline distT="0" distB="0" distL="0" distR="0">
          <wp:extent cx="699770" cy="262255"/>
          <wp:effectExtent l="19050" t="0" r="5080" b="0"/>
          <wp:docPr id="22" name="obrázek 22" descr="logo_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_cs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770" cy="262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06443"/>
    <w:multiLevelType w:val="hybridMultilevel"/>
    <w:tmpl w:val="521A16BE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97DBB"/>
    <w:multiLevelType w:val="hybridMultilevel"/>
    <w:tmpl w:val="5BC289F4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120A0"/>
    <w:multiLevelType w:val="hybridMultilevel"/>
    <w:tmpl w:val="BED45F64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D4BD9"/>
    <w:multiLevelType w:val="hybridMultilevel"/>
    <w:tmpl w:val="7B8297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1C750F"/>
    <w:multiLevelType w:val="hybridMultilevel"/>
    <w:tmpl w:val="0CA69F0C"/>
    <w:lvl w:ilvl="0" w:tplc="632624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24520A63"/>
    <w:multiLevelType w:val="multilevel"/>
    <w:tmpl w:val="4A367EF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F43502"/>
    <w:multiLevelType w:val="hybridMultilevel"/>
    <w:tmpl w:val="B17A0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A5A0F"/>
    <w:multiLevelType w:val="hybridMultilevel"/>
    <w:tmpl w:val="AD867D38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7E743C"/>
    <w:multiLevelType w:val="hybridMultilevel"/>
    <w:tmpl w:val="D83296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075DF3"/>
    <w:multiLevelType w:val="multilevel"/>
    <w:tmpl w:val="FBAA2C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44A52"/>
    <w:multiLevelType w:val="hybridMultilevel"/>
    <w:tmpl w:val="0004F0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3E60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75733FB"/>
    <w:multiLevelType w:val="hybridMultilevel"/>
    <w:tmpl w:val="FB2E9528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C61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234F00"/>
    <w:multiLevelType w:val="hybridMultilevel"/>
    <w:tmpl w:val="EF6A379C"/>
    <w:lvl w:ilvl="0" w:tplc="6AACA7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FB0A4E"/>
    <w:multiLevelType w:val="hybridMultilevel"/>
    <w:tmpl w:val="18F0253C"/>
    <w:lvl w:ilvl="0" w:tplc="CCFC61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BC6A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5"/>
  </w:num>
  <w:num w:numId="3">
    <w:abstractNumId w:val="13"/>
  </w:num>
  <w:num w:numId="4">
    <w:abstractNumId w:val="11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9"/>
  </w:num>
  <w:num w:numId="12">
    <w:abstractNumId w:val="1"/>
  </w:num>
  <w:num w:numId="13">
    <w:abstractNumId w:val="7"/>
  </w:num>
  <w:num w:numId="14">
    <w:abstractNumId w:val="12"/>
  </w:num>
  <w:num w:numId="15">
    <w:abstractNumId w:val="14"/>
  </w:num>
  <w:num w:numId="16">
    <w:abstractNumId w:val="2"/>
  </w:num>
  <w:num w:numId="17">
    <w:abstractNumId w:val="0"/>
  </w:num>
  <w:num w:numId="18">
    <w:abstractNumId w:val="4"/>
  </w:num>
  <w:num w:numId="19">
    <w:abstractNumId w:val="10"/>
  </w:num>
  <w:num w:numId="20">
    <w:abstractNumId w:val="6"/>
  </w:num>
  <w:num w:numId="21">
    <w:abstractNumId w:val="8"/>
  </w:num>
  <w:num w:numId="22">
    <w:abstractNumId w:val="3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B2F"/>
    <w:rsid w:val="00010F5E"/>
    <w:rsid w:val="000535DA"/>
    <w:rsid w:val="00065949"/>
    <w:rsid w:val="00075B55"/>
    <w:rsid w:val="00084858"/>
    <w:rsid w:val="00090D50"/>
    <w:rsid w:val="000B31B0"/>
    <w:rsid w:val="000C1FD4"/>
    <w:rsid w:val="000D056B"/>
    <w:rsid w:val="000E39E2"/>
    <w:rsid w:val="000E7343"/>
    <w:rsid w:val="000F0472"/>
    <w:rsid w:val="001147B5"/>
    <w:rsid w:val="00116F40"/>
    <w:rsid w:val="0013308F"/>
    <w:rsid w:val="00135D89"/>
    <w:rsid w:val="001411D5"/>
    <w:rsid w:val="00160D67"/>
    <w:rsid w:val="00181DD5"/>
    <w:rsid w:val="001976EE"/>
    <w:rsid w:val="001A4F72"/>
    <w:rsid w:val="001C37D9"/>
    <w:rsid w:val="001E36D4"/>
    <w:rsid w:val="001E6C77"/>
    <w:rsid w:val="00211DDF"/>
    <w:rsid w:val="002131B1"/>
    <w:rsid w:val="002217E2"/>
    <w:rsid w:val="00231F4E"/>
    <w:rsid w:val="0024094A"/>
    <w:rsid w:val="002622DB"/>
    <w:rsid w:val="002641B9"/>
    <w:rsid w:val="00282861"/>
    <w:rsid w:val="002A3E1D"/>
    <w:rsid w:val="002B2920"/>
    <w:rsid w:val="002B4380"/>
    <w:rsid w:val="002B4EA6"/>
    <w:rsid w:val="002B5F36"/>
    <w:rsid w:val="002D19DD"/>
    <w:rsid w:val="002D24AF"/>
    <w:rsid w:val="002F1728"/>
    <w:rsid w:val="002F6CE6"/>
    <w:rsid w:val="00301498"/>
    <w:rsid w:val="0031405F"/>
    <w:rsid w:val="0032714A"/>
    <w:rsid w:val="00327233"/>
    <w:rsid w:val="00335A71"/>
    <w:rsid w:val="00336488"/>
    <w:rsid w:val="0033718F"/>
    <w:rsid w:val="0034408B"/>
    <w:rsid w:val="00347C6F"/>
    <w:rsid w:val="003567E9"/>
    <w:rsid w:val="00357577"/>
    <w:rsid w:val="00360BDD"/>
    <w:rsid w:val="00375348"/>
    <w:rsid w:val="00382406"/>
    <w:rsid w:val="00385C04"/>
    <w:rsid w:val="003866E8"/>
    <w:rsid w:val="00387C34"/>
    <w:rsid w:val="003C3D8E"/>
    <w:rsid w:val="003D11CB"/>
    <w:rsid w:val="003D2072"/>
    <w:rsid w:val="003D233F"/>
    <w:rsid w:val="003E1660"/>
    <w:rsid w:val="004049C5"/>
    <w:rsid w:val="00427618"/>
    <w:rsid w:val="004314EB"/>
    <w:rsid w:val="00444868"/>
    <w:rsid w:val="00451E07"/>
    <w:rsid w:val="004525D6"/>
    <w:rsid w:val="004660BB"/>
    <w:rsid w:val="00467C08"/>
    <w:rsid w:val="00487635"/>
    <w:rsid w:val="004B21AA"/>
    <w:rsid w:val="004B3BAC"/>
    <w:rsid w:val="004C5920"/>
    <w:rsid w:val="004E563E"/>
    <w:rsid w:val="004E59AC"/>
    <w:rsid w:val="00515CF0"/>
    <w:rsid w:val="005235F9"/>
    <w:rsid w:val="00537C82"/>
    <w:rsid w:val="00552A43"/>
    <w:rsid w:val="005A6E67"/>
    <w:rsid w:val="005C047F"/>
    <w:rsid w:val="005C41F5"/>
    <w:rsid w:val="005C55EA"/>
    <w:rsid w:val="005D276C"/>
    <w:rsid w:val="005D638E"/>
    <w:rsid w:val="00612BE9"/>
    <w:rsid w:val="006304FD"/>
    <w:rsid w:val="0063213F"/>
    <w:rsid w:val="00641A7E"/>
    <w:rsid w:val="006550C1"/>
    <w:rsid w:val="00655882"/>
    <w:rsid w:val="00667119"/>
    <w:rsid w:val="0067315D"/>
    <w:rsid w:val="00693B2F"/>
    <w:rsid w:val="006A20A7"/>
    <w:rsid w:val="006A26E7"/>
    <w:rsid w:val="006A4645"/>
    <w:rsid w:val="006D34BA"/>
    <w:rsid w:val="006D721D"/>
    <w:rsid w:val="006E24BE"/>
    <w:rsid w:val="006F3911"/>
    <w:rsid w:val="006F45C4"/>
    <w:rsid w:val="0070266C"/>
    <w:rsid w:val="00724F1E"/>
    <w:rsid w:val="00743A1C"/>
    <w:rsid w:val="007648DE"/>
    <w:rsid w:val="00765205"/>
    <w:rsid w:val="007677DA"/>
    <w:rsid w:val="007854B1"/>
    <w:rsid w:val="00790390"/>
    <w:rsid w:val="007A27D6"/>
    <w:rsid w:val="007B0D44"/>
    <w:rsid w:val="007B2F6A"/>
    <w:rsid w:val="007C7C7A"/>
    <w:rsid w:val="007D52DB"/>
    <w:rsid w:val="007E76A3"/>
    <w:rsid w:val="007F1D0A"/>
    <w:rsid w:val="007F6F46"/>
    <w:rsid w:val="008115B0"/>
    <w:rsid w:val="00812293"/>
    <w:rsid w:val="00813A09"/>
    <w:rsid w:val="00832691"/>
    <w:rsid w:val="00847331"/>
    <w:rsid w:val="00856DE3"/>
    <w:rsid w:val="00861456"/>
    <w:rsid w:val="008662A0"/>
    <w:rsid w:val="008867BF"/>
    <w:rsid w:val="008905B0"/>
    <w:rsid w:val="008A0ABD"/>
    <w:rsid w:val="008A160B"/>
    <w:rsid w:val="008B0384"/>
    <w:rsid w:val="008B116D"/>
    <w:rsid w:val="008B5A88"/>
    <w:rsid w:val="008B630B"/>
    <w:rsid w:val="008C645A"/>
    <w:rsid w:val="008C7465"/>
    <w:rsid w:val="008C7569"/>
    <w:rsid w:val="008D012D"/>
    <w:rsid w:val="008F3061"/>
    <w:rsid w:val="008F6757"/>
    <w:rsid w:val="00922356"/>
    <w:rsid w:val="00925650"/>
    <w:rsid w:val="00932A57"/>
    <w:rsid w:val="00937D39"/>
    <w:rsid w:val="009428A9"/>
    <w:rsid w:val="00945932"/>
    <w:rsid w:val="009944EB"/>
    <w:rsid w:val="009B470A"/>
    <w:rsid w:val="009C41EC"/>
    <w:rsid w:val="009C58B1"/>
    <w:rsid w:val="009D1D21"/>
    <w:rsid w:val="009D1D37"/>
    <w:rsid w:val="009E2D79"/>
    <w:rsid w:val="009E3AA9"/>
    <w:rsid w:val="00A04051"/>
    <w:rsid w:val="00A17BB7"/>
    <w:rsid w:val="00A2375D"/>
    <w:rsid w:val="00A26DBB"/>
    <w:rsid w:val="00A8143D"/>
    <w:rsid w:val="00AA377B"/>
    <w:rsid w:val="00AA7979"/>
    <w:rsid w:val="00AD4DC1"/>
    <w:rsid w:val="00AD677B"/>
    <w:rsid w:val="00B073D2"/>
    <w:rsid w:val="00B10153"/>
    <w:rsid w:val="00B2515A"/>
    <w:rsid w:val="00B3404B"/>
    <w:rsid w:val="00B34273"/>
    <w:rsid w:val="00B53B94"/>
    <w:rsid w:val="00B6630F"/>
    <w:rsid w:val="00B70FEB"/>
    <w:rsid w:val="00B87BFB"/>
    <w:rsid w:val="00B87E29"/>
    <w:rsid w:val="00B91D0A"/>
    <w:rsid w:val="00B966AC"/>
    <w:rsid w:val="00BA37E3"/>
    <w:rsid w:val="00BA5EF6"/>
    <w:rsid w:val="00BB0204"/>
    <w:rsid w:val="00BB51AC"/>
    <w:rsid w:val="00BE5538"/>
    <w:rsid w:val="00BE597A"/>
    <w:rsid w:val="00BF2CFC"/>
    <w:rsid w:val="00C151CB"/>
    <w:rsid w:val="00C303E9"/>
    <w:rsid w:val="00C3043F"/>
    <w:rsid w:val="00C33B96"/>
    <w:rsid w:val="00C44D8B"/>
    <w:rsid w:val="00C50AF9"/>
    <w:rsid w:val="00C50F66"/>
    <w:rsid w:val="00C676E7"/>
    <w:rsid w:val="00C72758"/>
    <w:rsid w:val="00C741A7"/>
    <w:rsid w:val="00C900AA"/>
    <w:rsid w:val="00CA4952"/>
    <w:rsid w:val="00CB6BFE"/>
    <w:rsid w:val="00CC0541"/>
    <w:rsid w:val="00CC5382"/>
    <w:rsid w:val="00CD36FF"/>
    <w:rsid w:val="00CE5873"/>
    <w:rsid w:val="00D12D84"/>
    <w:rsid w:val="00D31DE5"/>
    <w:rsid w:val="00D344EE"/>
    <w:rsid w:val="00D35E12"/>
    <w:rsid w:val="00D449E2"/>
    <w:rsid w:val="00D473E9"/>
    <w:rsid w:val="00D55CBF"/>
    <w:rsid w:val="00D614C7"/>
    <w:rsid w:val="00D61DED"/>
    <w:rsid w:val="00D6703B"/>
    <w:rsid w:val="00D73E04"/>
    <w:rsid w:val="00D74D47"/>
    <w:rsid w:val="00D83C4C"/>
    <w:rsid w:val="00DB3B8A"/>
    <w:rsid w:val="00DD1BC1"/>
    <w:rsid w:val="00DE15DD"/>
    <w:rsid w:val="00DF6778"/>
    <w:rsid w:val="00E22F41"/>
    <w:rsid w:val="00E269B3"/>
    <w:rsid w:val="00E276FF"/>
    <w:rsid w:val="00E43E9C"/>
    <w:rsid w:val="00E47CE2"/>
    <w:rsid w:val="00E6069A"/>
    <w:rsid w:val="00E613E0"/>
    <w:rsid w:val="00E95041"/>
    <w:rsid w:val="00EB1877"/>
    <w:rsid w:val="00EC526A"/>
    <w:rsid w:val="00ED00C6"/>
    <w:rsid w:val="00EE057C"/>
    <w:rsid w:val="00EF05A2"/>
    <w:rsid w:val="00EF26D9"/>
    <w:rsid w:val="00EF5CEB"/>
    <w:rsid w:val="00F120A0"/>
    <w:rsid w:val="00F149E3"/>
    <w:rsid w:val="00F20B5C"/>
    <w:rsid w:val="00F26812"/>
    <w:rsid w:val="00F32FD2"/>
    <w:rsid w:val="00F345E6"/>
    <w:rsid w:val="00F4260D"/>
    <w:rsid w:val="00F51C32"/>
    <w:rsid w:val="00F71CB7"/>
    <w:rsid w:val="00F74D73"/>
    <w:rsid w:val="00F86B0B"/>
    <w:rsid w:val="00F91EC1"/>
    <w:rsid w:val="00F92A8C"/>
    <w:rsid w:val="00FA7161"/>
    <w:rsid w:val="00FB5729"/>
    <w:rsid w:val="00FC5A22"/>
    <w:rsid w:val="00FE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375D"/>
    <w:pPr>
      <w:keepNext/>
      <w:keepLines/>
      <w:numPr>
        <w:numId w:val="2"/>
      </w:numPr>
      <w:tabs>
        <w:tab w:val="left" w:pos="709"/>
      </w:tabs>
      <w:spacing w:before="360" w:after="240"/>
      <w:ind w:left="709" w:hanging="709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D6703B"/>
    <w:pPr>
      <w:numPr>
        <w:ilvl w:val="1"/>
      </w:numPr>
      <w:tabs>
        <w:tab w:val="clear" w:pos="709"/>
        <w:tab w:val="left" w:pos="993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A2375D"/>
    <w:pPr>
      <w:numPr>
        <w:ilvl w:val="2"/>
      </w:numPr>
      <w:tabs>
        <w:tab w:val="clear" w:pos="709"/>
        <w:tab w:val="left" w:pos="851"/>
      </w:tabs>
      <w:spacing w:before="120"/>
      <w:ind w:left="851" w:hanging="839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A4645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A2375D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6703B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link w:val="BezmezerChar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2375D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A4645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3D233F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cs-CZ"/>
    </w:rPr>
  </w:style>
  <w:style w:type="paragraph" w:styleId="Textpoznpodarou">
    <w:name w:val="footnote text"/>
    <w:aliases w:val="Char, Char"/>
    <w:basedOn w:val="Normln"/>
    <w:link w:val="TextpoznpodarouChar"/>
    <w:unhideWhenUsed/>
    <w:rsid w:val="003D233F"/>
    <w:pPr>
      <w:spacing w:before="0"/>
      <w:jc w:val="left"/>
    </w:pPr>
    <w:rPr>
      <w:rFonts w:asciiTheme="minorHAnsi" w:hAnsiTheme="minorHAnsi"/>
      <w:kern w:val="0"/>
      <w:sz w:val="20"/>
      <w:szCs w:val="20"/>
    </w:rPr>
  </w:style>
  <w:style w:type="character" w:customStyle="1" w:styleId="TextpoznpodarouChar">
    <w:name w:val="Text pozn. pod čarou Char"/>
    <w:aliases w:val="Char Char, Char Char"/>
    <w:basedOn w:val="Standardnpsmoodstavce"/>
    <w:link w:val="Textpoznpodarou"/>
    <w:uiPriority w:val="99"/>
    <w:rsid w:val="003D233F"/>
    <w:rPr>
      <w:sz w:val="20"/>
      <w:szCs w:val="20"/>
    </w:rPr>
  </w:style>
  <w:style w:type="character" w:styleId="Znakapoznpodarou">
    <w:name w:val="footnote reference"/>
    <w:aliases w:val="Footnote symbol,Footnote"/>
    <w:basedOn w:val="Standardnpsmoodstavce"/>
    <w:unhideWhenUsed/>
    <w:rsid w:val="003D233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D2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233F"/>
    <w:pPr>
      <w:spacing w:before="0" w:after="200"/>
      <w:jc w:val="left"/>
    </w:pPr>
    <w:rPr>
      <w:rFonts w:asciiTheme="minorHAnsi" w:hAnsiTheme="minorHAnsi"/>
      <w:kern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233F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233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33F"/>
    <w:rPr>
      <w:rFonts w:ascii="Tahoma" w:hAnsi="Tahoma" w:cs="Tahoma"/>
      <w:kern w:val="2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233F"/>
    <w:pPr>
      <w:spacing w:before="0" w:after="200" w:line="276" w:lineRule="auto"/>
      <w:ind w:left="720"/>
      <w:contextualSpacing/>
      <w:jc w:val="left"/>
    </w:pPr>
    <w:rPr>
      <w:rFonts w:asciiTheme="minorHAnsi" w:hAnsiTheme="minorHAnsi"/>
      <w:kern w:val="0"/>
      <w:sz w:val="22"/>
    </w:rPr>
  </w:style>
  <w:style w:type="paragraph" w:customStyle="1" w:styleId="Nadpis">
    <w:name w:val="Nadpis"/>
    <w:basedOn w:val="Normln"/>
    <w:link w:val="NadpisChar"/>
    <w:qFormat/>
    <w:rsid w:val="003D233F"/>
    <w:pPr>
      <w:autoSpaceDE w:val="0"/>
      <w:autoSpaceDN w:val="0"/>
      <w:adjustRightInd w:val="0"/>
      <w:spacing w:before="0"/>
      <w:jc w:val="left"/>
    </w:pPr>
    <w:rPr>
      <w:rFonts w:asciiTheme="minorHAnsi" w:hAnsiTheme="minorHAnsi"/>
      <w:b/>
      <w:color w:val="365F91" w:themeColor="accent1" w:themeShade="BF"/>
      <w:kern w:val="0"/>
      <w:sz w:val="28"/>
      <w:szCs w:val="28"/>
    </w:rPr>
  </w:style>
  <w:style w:type="character" w:customStyle="1" w:styleId="NadpisChar">
    <w:name w:val="Nadpis Char"/>
    <w:basedOn w:val="Standardnpsmoodstavce"/>
    <w:link w:val="Nadpis"/>
    <w:rsid w:val="003D233F"/>
    <w:rPr>
      <w:b/>
      <w:color w:val="365F91" w:themeColor="accent1" w:themeShade="BF"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233F"/>
    <w:pPr>
      <w:spacing w:before="240" w:after="0"/>
      <w:jc w:val="both"/>
    </w:pPr>
    <w:rPr>
      <w:rFonts w:ascii="Times New Roman" w:hAnsi="Times New Roman"/>
      <w:b/>
      <w:bCs/>
      <w:kern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233F"/>
    <w:rPr>
      <w:rFonts w:ascii="Times New Roman" w:hAnsi="Times New Roman"/>
      <w:b/>
      <w:bCs/>
      <w:kern w:val="22"/>
      <w:sz w:val="20"/>
      <w:szCs w:val="20"/>
    </w:rPr>
  </w:style>
  <w:style w:type="table" w:styleId="Mkatabulky">
    <w:name w:val="Table Grid"/>
    <w:basedOn w:val="Normlntabulka"/>
    <w:uiPriority w:val="59"/>
    <w:rsid w:val="006F4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B0204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090D50"/>
    <w:rPr>
      <w:b/>
      <w:bCs/>
      <w:i w:val="0"/>
      <w:iCs w:val="0"/>
    </w:rPr>
  </w:style>
  <w:style w:type="character" w:customStyle="1" w:styleId="st">
    <w:name w:val="st"/>
    <w:basedOn w:val="Standardnpsmoodstavce"/>
    <w:rsid w:val="00090D50"/>
  </w:style>
  <w:style w:type="character" w:customStyle="1" w:styleId="BezmezerChar">
    <w:name w:val="Bez mezer Char"/>
    <w:basedOn w:val="Standardnpsmoodstavce"/>
    <w:link w:val="Bezmezer"/>
    <w:uiPriority w:val="1"/>
    <w:rsid w:val="00B91D0A"/>
    <w:rPr>
      <w:rFonts w:ascii="Times New Roman" w:hAnsi="Times New Roman"/>
      <w:kern w:val="2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0B5C"/>
    <w:pPr>
      <w:spacing w:before="240" w:after="0" w:line="240" w:lineRule="auto"/>
      <w:jc w:val="both"/>
    </w:pPr>
    <w:rPr>
      <w:rFonts w:ascii="Times New Roman" w:hAnsi="Times New Roman"/>
      <w:kern w:val="22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375D"/>
    <w:pPr>
      <w:keepNext/>
      <w:keepLines/>
      <w:numPr>
        <w:numId w:val="2"/>
      </w:numPr>
      <w:tabs>
        <w:tab w:val="left" w:pos="709"/>
      </w:tabs>
      <w:spacing w:before="360" w:after="240"/>
      <w:ind w:left="709" w:hanging="709"/>
      <w:jc w:val="left"/>
      <w:outlineLvl w:val="0"/>
    </w:pPr>
    <w:rPr>
      <w:rFonts w:eastAsia="Times New Roman" w:cstheme="minorHAnsi"/>
      <w:b/>
      <w:bCs/>
      <w:sz w:val="48"/>
      <w:szCs w:val="28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D6703B"/>
    <w:pPr>
      <w:numPr>
        <w:ilvl w:val="1"/>
      </w:numPr>
      <w:tabs>
        <w:tab w:val="clear" w:pos="709"/>
        <w:tab w:val="left" w:pos="993"/>
      </w:tabs>
      <w:ind w:left="851" w:hanging="851"/>
      <w:outlineLvl w:val="1"/>
    </w:pPr>
    <w:rPr>
      <w:sz w:val="36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A2375D"/>
    <w:pPr>
      <w:numPr>
        <w:ilvl w:val="2"/>
      </w:numPr>
      <w:tabs>
        <w:tab w:val="clear" w:pos="709"/>
        <w:tab w:val="left" w:pos="851"/>
      </w:tabs>
      <w:spacing w:before="120"/>
      <w:ind w:left="851" w:hanging="839"/>
      <w:outlineLvl w:val="2"/>
    </w:pPr>
    <w:rPr>
      <w:sz w:val="28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A4645"/>
    <w:pPr>
      <w:numPr>
        <w:ilvl w:val="3"/>
      </w:numPr>
      <w:tabs>
        <w:tab w:val="clear" w:pos="851"/>
        <w:tab w:val="left" w:pos="993"/>
      </w:tabs>
      <w:ind w:left="993" w:hanging="993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5D89"/>
    <w:rPr>
      <w:kern w:val="22"/>
    </w:rPr>
  </w:style>
  <w:style w:type="paragraph" w:styleId="Zpat">
    <w:name w:val="footer"/>
    <w:basedOn w:val="Normln"/>
    <w:link w:val="ZpatChar"/>
    <w:uiPriority w:val="99"/>
    <w:unhideWhenUsed/>
    <w:rsid w:val="00135D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5D89"/>
    <w:rPr>
      <w:kern w:val="22"/>
    </w:rPr>
  </w:style>
  <w:style w:type="character" w:customStyle="1" w:styleId="Nadpis1Char">
    <w:name w:val="Nadpis 1 Char"/>
    <w:basedOn w:val="Standardnpsmoodstavce"/>
    <w:link w:val="Nadpis1"/>
    <w:uiPriority w:val="9"/>
    <w:rsid w:val="00A2375D"/>
    <w:rPr>
      <w:rFonts w:ascii="Times New Roman" w:eastAsia="Times New Roman" w:hAnsi="Times New Roman" w:cstheme="minorHAnsi"/>
      <w:b/>
      <w:bCs/>
      <w:kern w:val="22"/>
      <w:sz w:val="4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6703B"/>
    <w:rPr>
      <w:rFonts w:ascii="Times New Roman" w:eastAsia="Times New Roman" w:hAnsi="Times New Roman" w:cstheme="minorHAnsi"/>
      <w:b/>
      <w:bCs/>
      <w:kern w:val="22"/>
      <w:sz w:val="36"/>
      <w:szCs w:val="26"/>
      <w:lang w:eastAsia="cs-CZ"/>
    </w:rPr>
  </w:style>
  <w:style w:type="paragraph" w:styleId="Bezmezer">
    <w:name w:val="No Spacing"/>
    <w:uiPriority w:val="1"/>
    <w:qFormat/>
    <w:rsid w:val="00F20B5C"/>
    <w:pPr>
      <w:spacing w:after="0" w:line="240" w:lineRule="auto"/>
      <w:jc w:val="both"/>
    </w:pPr>
    <w:rPr>
      <w:rFonts w:ascii="Times New Roman" w:hAnsi="Times New Roman"/>
      <w:kern w:val="22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2375D"/>
    <w:rPr>
      <w:rFonts w:ascii="Times New Roman" w:eastAsia="Times New Roman" w:hAnsi="Times New Roman" w:cstheme="minorHAnsi"/>
      <w:b/>
      <w:bCs/>
      <w:kern w:val="22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A4645"/>
    <w:rPr>
      <w:rFonts w:ascii="Times New Roman" w:eastAsia="Times New Roman" w:hAnsi="Times New Roman" w:cstheme="minorHAnsi"/>
      <w:b/>
      <w:bCs/>
      <w:kern w:val="22"/>
      <w:sz w:val="24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3D233F"/>
    <w:pPr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eastAsia="cs-CZ"/>
    </w:rPr>
  </w:style>
  <w:style w:type="paragraph" w:styleId="Textpoznpodarou">
    <w:name w:val="footnote text"/>
    <w:aliases w:val="Char, Char"/>
    <w:basedOn w:val="Normln"/>
    <w:link w:val="TextpoznpodarouChar"/>
    <w:unhideWhenUsed/>
    <w:rsid w:val="003D233F"/>
    <w:pPr>
      <w:spacing w:before="0"/>
      <w:jc w:val="left"/>
    </w:pPr>
    <w:rPr>
      <w:rFonts w:asciiTheme="minorHAnsi" w:hAnsiTheme="minorHAnsi"/>
      <w:kern w:val="0"/>
      <w:sz w:val="20"/>
      <w:szCs w:val="20"/>
    </w:rPr>
  </w:style>
  <w:style w:type="character" w:customStyle="1" w:styleId="TextpoznpodarouChar">
    <w:name w:val="Text pozn. pod čarou Char"/>
    <w:aliases w:val="Char Char, Char Char"/>
    <w:basedOn w:val="Standardnpsmoodstavce"/>
    <w:link w:val="Textpoznpodarou"/>
    <w:uiPriority w:val="99"/>
    <w:rsid w:val="003D233F"/>
    <w:rPr>
      <w:sz w:val="20"/>
      <w:szCs w:val="20"/>
    </w:rPr>
  </w:style>
  <w:style w:type="character" w:styleId="Znakapoznpodarou">
    <w:name w:val="footnote reference"/>
    <w:aliases w:val="Footnote symbol,Footnote"/>
    <w:basedOn w:val="Standardnpsmoodstavce"/>
    <w:unhideWhenUsed/>
    <w:rsid w:val="003D233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D2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233F"/>
    <w:pPr>
      <w:spacing w:before="0" w:after="200"/>
      <w:jc w:val="left"/>
    </w:pPr>
    <w:rPr>
      <w:rFonts w:asciiTheme="minorHAnsi" w:hAnsiTheme="minorHAnsi"/>
      <w:kern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233F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233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33F"/>
    <w:rPr>
      <w:rFonts w:ascii="Tahoma" w:hAnsi="Tahoma" w:cs="Tahoma"/>
      <w:kern w:val="2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D233F"/>
    <w:pPr>
      <w:spacing w:before="0" w:after="200" w:line="276" w:lineRule="auto"/>
      <w:ind w:left="720"/>
      <w:contextualSpacing/>
      <w:jc w:val="left"/>
    </w:pPr>
    <w:rPr>
      <w:rFonts w:asciiTheme="minorHAnsi" w:hAnsiTheme="minorHAnsi"/>
      <w:kern w:val="0"/>
      <w:sz w:val="22"/>
    </w:rPr>
  </w:style>
  <w:style w:type="paragraph" w:customStyle="1" w:styleId="Nadpis">
    <w:name w:val="Nadpis"/>
    <w:basedOn w:val="Normln"/>
    <w:link w:val="NadpisChar"/>
    <w:qFormat/>
    <w:rsid w:val="003D233F"/>
    <w:pPr>
      <w:autoSpaceDE w:val="0"/>
      <w:autoSpaceDN w:val="0"/>
      <w:adjustRightInd w:val="0"/>
      <w:spacing w:before="0"/>
      <w:jc w:val="left"/>
    </w:pPr>
    <w:rPr>
      <w:rFonts w:asciiTheme="minorHAnsi" w:hAnsiTheme="minorHAnsi"/>
      <w:b/>
      <w:color w:val="365F91" w:themeColor="accent1" w:themeShade="BF"/>
      <w:kern w:val="0"/>
      <w:sz w:val="28"/>
      <w:szCs w:val="28"/>
    </w:rPr>
  </w:style>
  <w:style w:type="character" w:customStyle="1" w:styleId="NadpisChar">
    <w:name w:val="Nadpis Char"/>
    <w:basedOn w:val="Standardnpsmoodstavce"/>
    <w:link w:val="Nadpis"/>
    <w:rsid w:val="003D233F"/>
    <w:rPr>
      <w:b/>
      <w:color w:val="365F91" w:themeColor="accent1" w:themeShade="BF"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233F"/>
    <w:pPr>
      <w:spacing w:before="240" w:after="0"/>
      <w:jc w:val="both"/>
    </w:pPr>
    <w:rPr>
      <w:rFonts w:ascii="Times New Roman" w:hAnsi="Times New Roman"/>
      <w:b/>
      <w:bCs/>
      <w:kern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233F"/>
    <w:rPr>
      <w:rFonts w:ascii="Times New Roman" w:hAnsi="Times New Roman"/>
      <w:b/>
      <w:bCs/>
      <w:kern w:val="22"/>
      <w:sz w:val="20"/>
      <w:szCs w:val="20"/>
    </w:rPr>
  </w:style>
  <w:style w:type="table" w:styleId="Mkatabulky">
    <w:name w:val="Table Grid"/>
    <w:basedOn w:val="Normlntabulka"/>
    <w:uiPriority w:val="59"/>
    <w:rsid w:val="006F4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B0204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090D50"/>
    <w:rPr>
      <w:b/>
      <w:bCs/>
      <w:i w:val="0"/>
      <w:iCs w:val="0"/>
    </w:rPr>
  </w:style>
  <w:style w:type="character" w:customStyle="1" w:styleId="st">
    <w:name w:val="st"/>
    <w:basedOn w:val="Standardnpsmoodstavce"/>
    <w:rsid w:val="00090D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smt.cz/mezinarodni-vztahy/publikace-strategie-celozivotniho-uceni-c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ol.cz/fileadmin/user_upload/LF-dokumenty/BKTV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lovnik-cizich-slov.abz.cz/web.php/slovo/efektivn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lovnik-cizich-slov.abz.cz/web.php/slovo/system" TargetMode="Externa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ka\Dropbox\GISTR\ZT\Tvorba%20dokumentu\Apendix%20C_&#352;ablony\GISTR_DOK_ver_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7C56D9343A4AC683FC63AC3CE88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D7A09-CE3A-42C6-9930-5DD16EEBB0C6}"/>
      </w:docPartPr>
      <w:docPartBody>
        <w:p w:rsidR="00A264FC" w:rsidRDefault="006643FA" w:rsidP="006643FA">
          <w:pPr>
            <w:pStyle w:val="C57C56D9343A4AC683FC63AC3CE88BD1"/>
          </w:pPr>
          <w:r>
            <w:rPr>
              <w:rFonts w:asciiTheme="majorHAnsi" w:eastAsiaTheme="majorEastAsia" w:hAnsiTheme="majorHAnsi" w:cstheme="majorBidi"/>
            </w:rPr>
            <w:t>[Zadejte název společnosti.]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643FA"/>
    <w:rsid w:val="006643FA"/>
    <w:rsid w:val="00A264FC"/>
    <w:rsid w:val="00B64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64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57C56D9343A4AC683FC63AC3CE88BD1">
    <w:name w:val="C57C56D9343A4AC683FC63AC3CE88BD1"/>
    <w:rsid w:val="006643FA"/>
  </w:style>
  <w:style w:type="paragraph" w:customStyle="1" w:styleId="BE2B287C90E04030B7968A387DD341C8">
    <w:name w:val="BE2B287C90E04030B7968A387DD341C8"/>
    <w:rsid w:val="006643FA"/>
  </w:style>
  <w:style w:type="paragraph" w:customStyle="1" w:styleId="5DBB32BCED7D4CDD81ED52A3A3EA0587">
    <w:name w:val="5DBB32BCED7D4CDD81ED52A3A3EA0587"/>
    <w:rsid w:val="006643FA"/>
  </w:style>
  <w:style w:type="paragraph" w:customStyle="1" w:styleId="9AC12AB0620E412BAA6163C1C03948CF">
    <w:name w:val="9AC12AB0620E412BAA6163C1C03948CF"/>
    <w:rsid w:val="006643FA"/>
  </w:style>
  <w:style w:type="paragraph" w:customStyle="1" w:styleId="9FB26EA0301644F78CCF67BB83475EE8">
    <w:name w:val="9FB26EA0301644F78CCF67BB83475EE8"/>
    <w:rsid w:val="006643F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90228-FEFA-4111-9E38-9FABDFA70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GISTR_DOK_ver_2.dotx</Template>
  <TotalTime>0</TotalTime>
  <Pages>10</Pages>
  <Words>3626</Words>
  <Characters>21398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>jiri.krump@gmail.com;eva.kubatova@mvcr.cz</Manager>
  <Company>PRACOVNÍ NÁVRH</Company>
  <LinksUpToDate>false</LinksUpToDate>
  <CharactersWithSpaces>24975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GeoInfoStrategie</dc:title>
  <dc:creator>Jirka</dc:creator>
  <cp:lastModifiedBy>Kubatova</cp:lastModifiedBy>
  <cp:revision>2</cp:revision>
  <cp:lastPrinted>2014-04-24T07:32:00Z</cp:lastPrinted>
  <dcterms:created xsi:type="dcterms:W3CDTF">2014-04-24T16:03:00Z</dcterms:created>
  <dcterms:modified xsi:type="dcterms:W3CDTF">2014-04-24T16:03:00Z</dcterms:modified>
</cp:coreProperties>
</file>