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</w:tblGrid>
      <w:tr w:rsidR="00B87718" w:rsidRPr="007C121F" w14:paraId="2F9E23AE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59D63469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 w:rsidRPr="007C121F">
              <w:rPr>
                <w:b/>
              </w:rPr>
              <w:t>Služba /use case</w:t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14:paraId="09A59051" w14:textId="37DF110A" w:rsidR="00B87718" w:rsidRPr="00B87718" w:rsidRDefault="003832C3" w:rsidP="003832C3">
            <w:pPr>
              <w:rPr>
                <w:b/>
                <w:bCs/>
              </w:rPr>
            </w:pPr>
            <w:r>
              <w:rPr>
                <w:b/>
                <w:bCs/>
              </w:rPr>
              <w:t>Výstavba a investice</w:t>
            </w:r>
          </w:p>
        </w:tc>
      </w:tr>
      <w:tr w:rsidR="00B87718" w:rsidRPr="007C121F" w14:paraId="3FA961C4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0CBA326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Popis služby/use case</w:t>
            </w:r>
          </w:p>
        </w:tc>
        <w:tc>
          <w:tcPr>
            <w:tcW w:w="7479" w:type="dxa"/>
          </w:tcPr>
          <w:p w14:paraId="1C8B30DC" w14:textId="10DD736F" w:rsidR="00B94F46" w:rsidRDefault="00DF665C" w:rsidP="00C63F61">
            <w:pPr>
              <w:jc w:val="both"/>
            </w:pPr>
            <w:r>
              <w:t>Poskytování informací a podkladů pro jednotlivé fáze stavebních a investičních akcí</w:t>
            </w:r>
            <w:r w:rsidR="004D7D1D">
              <w:t xml:space="preserve"> (přípravu, realizaci a </w:t>
            </w:r>
            <w:r w:rsidR="006B0830">
              <w:t>užívání</w:t>
            </w:r>
            <w:r w:rsidR="00381D5C">
              <w:t xml:space="preserve"> staveb</w:t>
            </w:r>
            <w:r w:rsidR="004D7D1D">
              <w:t>)</w:t>
            </w:r>
            <w:r>
              <w:t xml:space="preserve">. </w:t>
            </w:r>
            <w:r w:rsidR="004D7D1D">
              <w:t>Služba je využívána v následujících případech.</w:t>
            </w:r>
          </w:p>
          <w:p w14:paraId="12F38E01" w14:textId="69C1B84D" w:rsidR="00F23B4C" w:rsidRDefault="002A717E" w:rsidP="00C63F61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>Výběr vhodných lokalit pro výstavbu</w:t>
            </w:r>
          </w:p>
          <w:p w14:paraId="570DF559" w14:textId="69D93AED" w:rsidR="0061384C" w:rsidRDefault="00457422" w:rsidP="00C63F61">
            <w:pPr>
              <w:pStyle w:val="Odstavecseseznamem"/>
              <w:ind w:left="1064"/>
              <w:jc w:val="both"/>
            </w:pPr>
            <w:r>
              <w:t>Podklady a informace pro v</w:t>
            </w:r>
            <w:r w:rsidR="002A717E">
              <w:t>yhledávání a výběr vhodných lokalit pro realizaci stavebních záměrů</w:t>
            </w:r>
            <w:r>
              <w:t xml:space="preserve"> investory.</w:t>
            </w:r>
            <w:r w:rsidR="00A96243">
              <w:t xml:space="preserve"> </w:t>
            </w:r>
            <w:r w:rsidR="0061384C">
              <w:t>Podklady a informace pro umístění stavy a řešení návazností na okolní situaci v lokalitě (např. napojení stavby na dopravní a technickou infrastrukturu).</w:t>
            </w:r>
          </w:p>
          <w:p w14:paraId="0E9A5AD4" w14:textId="77777777" w:rsidR="00F23B4C" w:rsidRDefault="00F23B4C" w:rsidP="00C63F61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 xml:space="preserve">Podklady pro vydávání rozhodnutí a </w:t>
            </w:r>
            <w:r w:rsidRPr="00505D86">
              <w:t>stanovisek na všech úrovních veřejné správy</w:t>
            </w:r>
          </w:p>
          <w:p w14:paraId="529B3C2C" w14:textId="5B49216D" w:rsidR="00F23B4C" w:rsidRDefault="00F23B4C" w:rsidP="00C63F61">
            <w:pPr>
              <w:pStyle w:val="Odstavecseseznamem"/>
              <w:ind w:left="1064"/>
              <w:jc w:val="both"/>
            </w:pPr>
            <w:r>
              <w:t>Tvorba situačních zákresů a schémat pro rozhodovací a schvalovací činnosti</w:t>
            </w:r>
            <w:r w:rsidR="00381D5C">
              <w:t xml:space="preserve"> veřejné správy související s výstavbou.</w:t>
            </w:r>
          </w:p>
          <w:p w14:paraId="68EF0676" w14:textId="614CA2C1" w:rsidR="004D7D1D" w:rsidRDefault="004D7D1D" w:rsidP="00C63F61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 w:rsidRPr="004D7D1D">
              <w:t>Vypracování projektové dokumentace stavebního záměru</w:t>
            </w:r>
          </w:p>
          <w:p w14:paraId="6465DD98" w14:textId="6B6319EA" w:rsidR="00B94F46" w:rsidRDefault="00B94F46" w:rsidP="00C63F61">
            <w:pPr>
              <w:pStyle w:val="Odstavecseseznamem"/>
              <w:ind w:left="1064"/>
              <w:jc w:val="both"/>
            </w:pPr>
            <w:r w:rsidRPr="00B94F46">
              <w:t xml:space="preserve">Podklady pro tvorbu situačních výkresů a schémat stavebních záměrů, </w:t>
            </w:r>
            <w:r w:rsidR="00381D5C">
              <w:t xml:space="preserve">jako </w:t>
            </w:r>
            <w:r w:rsidRPr="00B94F46">
              <w:t xml:space="preserve">součást projektové dokumentace staveb před jejich realizací </w:t>
            </w:r>
            <w:r w:rsidR="00381D5C">
              <w:t>(</w:t>
            </w:r>
            <w:r w:rsidRPr="00B94F46">
              <w:t>komunikací, budov, terénních úprav, inženýrských sítí apod.</w:t>
            </w:r>
            <w:r w:rsidR="00381D5C">
              <w:t>).</w:t>
            </w:r>
            <w:r w:rsidRPr="00B94F46">
              <w:t xml:space="preserve"> Vypracování projektové dokumentace je vyžadováno stavebním</w:t>
            </w:r>
            <w:r w:rsidR="00457422">
              <w:t>i</w:t>
            </w:r>
            <w:r w:rsidRPr="00B94F46">
              <w:t xml:space="preserve"> úřad</w:t>
            </w:r>
            <w:r w:rsidR="00457422">
              <w:t>y</w:t>
            </w:r>
            <w:r w:rsidRPr="00B94F46">
              <w:t xml:space="preserve"> pro ohlášení stavby nebo pro vydání stavebního povolení</w:t>
            </w:r>
            <w:r w:rsidR="00256B79">
              <w:t xml:space="preserve"> (podklady pro stavební řízení)</w:t>
            </w:r>
            <w:r w:rsidRPr="00B94F46">
              <w:t>.</w:t>
            </w:r>
          </w:p>
          <w:p w14:paraId="735D7BDE" w14:textId="4DD39A46" w:rsidR="00B94F46" w:rsidRDefault="00B94F46" w:rsidP="00C63F61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>Z</w:t>
            </w:r>
            <w:r w:rsidRPr="00B94F46">
              <w:t>pracování geodetické části dokumentace skutečného provedení stavby</w:t>
            </w:r>
            <w:r>
              <w:t xml:space="preserve"> (DSPS)</w:t>
            </w:r>
          </w:p>
          <w:p w14:paraId="5CD69844" w14:textId="6E439138" w:rsidR="00DF665C" w:rsidRDefault="00B94F46" w:rsidP="00C63F61">
            <w:pPr>
              <w:pStyle w:val="Odstavecseseznamem"/>
              <w:ind w:left="1064"/>
              <w:jc w:val="both"/>
            </w:pPr>
            <w:r>
              <w:t>Podklady pro tvorbu výkresů a schémat skutečného provedení stavby</w:t>
            </w:r>
            <w:r w:rsidR="009B3C35">
              <w:t xml:space="preserve"> </w:t>
            </w:r>
            <w:r w:rsidR="00236946">
              <w:t>(</w:t>
            </w:r>
            <w:r w:rsidR="009B3C35">
              <w:t>stavebního zákon</w:t>
            </w:r>
            <w:r w:rsidR="00236946">
              <w:t xml:space="preserve">) a jejich </w:t>
            </w:r>
            <w:r>
              <w:t>využ</w:t>
            </w:r>
            <w:r w:rsidR="00236946">
              <w:t xml:space="preserve">ití </w:t>
            </w:r>
            <w:r>
              <w:t>pro aktualizaci dat</w:t>
            </w:r>
            <w:r w:rsidR="00381D5C">
              <w:t xml:space="preserve"> nejvyššího detailu </w:t>
            </w:r>
            <w:r>
              <w:t>(např. technick</w:t>
            </w:r>
            <w:r w:rsidR="00381D5C">
              <w:t>é</w:t>
            </w:r>
            <w:r>
              <w:t xml:space="preserve"> map</w:t>
            </w:r>
            <w:r w:rsidR="00381D5C">
              <w:t>y</w:t>
            </w:r>
            <w:r>
              <w:t xml:space="preserve">, </w:t>
            </w:r>
            <w:proofErr w:type="spellStart"/>
            <w:r>
              <w:t>NaSaPO</w:t>
            </w:r>
            <w:proofErr w:type="spellEnd"/>
            <w:r>
              <w:t>).</w:t>
            </w:r>
          </w:p>
          <w:p w14:paraId="515ACA47" w14:textId="1BBA33DC" w:rsidR="005942A8" w:rsidRDefault="006B0830" w:rsidP="00C63F61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>Zjišťování i</w:t>
            </w:r>
            <w:r w:rsidR="005942A8">
              <w:t>nformac</w:t>
            </w:r>
            <w:r>
              <w:t>í</w:t>
            </w:r>
            <w:r w:rsidR="005942A8">
              <w:t xml:space="preserve"> o průběhu </w:t>
            </w:r>
            <w:r w:rsidR="00EB5C85">
              <w:t>technické infrastruktury</w:t>
            </w:r>
            <w:r w:rsidR="005942A8" w:rsidRPr="005942A8">
              <w:t xml:space="preserve"> v</w:t>
            </w:r>
            <w:r w:rsidR="005942A8">
              <w:t> </w:t>
            </w:r>
            <w:r w:rsidR="005942A8" w:rsidRPr="005942A8">
              <w:t>území</w:t>
            </w:r>
          </w:p>
          <w:p w14:paraId="71087656" w14:textId="22FC5358" w:rsidR="00E94883" w:rsidRDefault="002958CB" w:rsidP="00C63F61">
            <w:pPr>
              <w:pStyle w:val="Odstavecseseznamem"/>
              <w:ind w:left="1064"/>
              <w:jc w:val="both"/>
            </w:pPr>
            <w:r>
              <w:t xml:space="preserve">Zjišťování průběhu </w:t>
            </w:r>
            <w:r w:rsidRPr="005942A8">
              <w:t>inženýrských sítí</w:t>
            </w:r>
            <w:r>
              <w:t xml:space="preserve"> </w:t>
            </w:r>
            <w:r w:rsidR="00E94883">
              <w:t>př</w:t>
            </w:r>
            <w:r w:rsidR="00C47B29">
              <w:t xml:space="preserve">i </w:t>
            </w:r>
            <w:r w:rsidR="00E94883">
              <w:t>ohlašování staveb</w:t>
            </w:r>
            <w:r w:rsidR="00C47B29">
              <w:t xml:space="preserve"> a zjišťování vazeb vůči okolním stavbám povrchové situace. Realizace staveb s ohledem na průběhy sítí</w:t>
            </w:r>
            <w:r w:rsidR="00EB5C85">
              <w:t xml:space="preserve"> (zejm. podzemních)</w:t>
            </w:r>
            <w:r w:rsidR="00C47B29">
              <w:t>.</w:t>
            </w:r>
          </w:p>
          <w:p w14:paraId="25CDE3AC" w14:textId="5DB43768" w:rsidR="002958CB" w:rsidRDefault="002958CB" w:rsidP="00C63F61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>Řešení dopravních situací souvisejících s výstavbou</w:t>
            </w:r>
          </w:p>
          <w:p w14:paraId="6E157D94" w14:textId="77777777" w:rsidR="00B87718" w:rsidRDefault="002958CB" w:rsidP="00C63F61">
            <w:pPr>
              <w:pStyle w:val="Odstavecseseznamem"/>
              <w:ind w:left="1064"/>
              <w:jc w:val="both"/>
            </w:pPr>
            <w:r>
              <w:t>Podklady pro řešení uzavírek a omezení průjezdnosti</w:t>
            </w:r>
            <w:r w:rsidR="006F7B83">
              <w:t xml:space="preserve"> komunikací</w:t>
            </w:r>
            <w:r>
              <w:t xml:space="preserve"> související s</w:t>
            </w:r>
            <w:r w:rsidR="006F7B83">
              <w:t> </w:t>
            </w:r>
            <w:r>
              <w:t>výstavbou</w:t>
            </w:r>
            <w:r w:rsidR="006F7B83">
              <w:t>.</w:t>
            </w:r>
            <w:r>
              <w:t xml:space="preserve"> Zjišťování průjezdnosti </w:t>
            </w:r>
            <w:r w:rsidR="006F7B83">
              <w:t xml:space="preserve">na </w:t>
            </w:r>
            <w:r>
              <w:t>komunikací</w:t>
            </w:r>
            <w:r w:rsidR="006F7B83">
              <w:t>ch.</w:t>
            </w:r>
          </w:p>
          <w:p w14:paraId="7165C9EC" w14:textId="1381A6B3" w:rsidR="00D476BC" w:rsidRDefault="00D476BC" w:rsidP="00D476BC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>Vliv stavby na životní prostředí</w:t>
            </w:r>
          </w:p>
          <w:p w14:paraId="3185B461" w14:textId="1C6BEC3F" w:rsidR="00D476BC" w:rsidRDefault="00C31E80" w:rsidP="00C63F61">
            <w:pPr>
              <w:pStyle w:val="Odstavecseseznamem"/>
              <w:ind w:left="1064"/>
              <w:jc w:val="both"/>
            </w:pPr>
            <w:r>
              <w:t xml:space="preserve">Podklady pro </w:t>
            </w:r>
            <w:r>
              <w:t>tvorbu analýz a studií vlivu staveb na životní prostředí (např. hlukové mapy)</w:t>
            </w:r>
          </w:p>
          <w:p w14:paraId="6A14EBDD" w14:textId="50587F39" w:rsidR="00421107" w:rsidRPr="007C121F" w:rsidRDefault="00421107" w:rsidP="00421107">
            <w:pPr>
              <w:pStyle w:val="Odstavecseseznamem"/>
              <w:ind w:left="1064"/>
            </w:pPr>
          </w:p>
        </w:tc>
      </w:tr>
      <w:tr w:rsidR="00B87718" w:rsidRPr="007C121F" w14:paraId="04416C06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01865EE" w14:textId="6CB0AEA3" w:rsidR="00B87718" w:rsidRPr="007C121F" w:rsidRDefault="00B87718" w:rsidP="00EB757B">
            <w:pPr>
              <w:rPr>
                <w:b/>
                <w:bCs/>
              </w:rPr>
            </w:pPr>
            <w:r>
              <w:rPr>
                <w:b/>
                <w:bCs/>
              </w:rPr>
              <w:t>Poskytovatel služby</w:t>
            </w:r>
          </w:p>
        </w:tc>
        <w:tc>
          <w:tcPr>
            <w:tcW w:w="7479" w:type="dxa"/>
          </w:tcPr>
          <w:p w14:paraId="230B517A" w14:textId="7DD87087" w:rsidR="00B87718" w:rsidRPr="007C121F" w:rsidRDefault="003E7DA6" w:rsidP="003E7DA6">
            <w:pPr>
              <w:autoSpaceDE w:val="0"/>
              <w:autoSpaceDN w:val="0"/>
              <w:adjustRightInd w:val="0"/>
            </w:pPr>
            <w:r>
              <w:t xml:space="preserve">Správce dat </w:t>
            </w:r>
            <w:proofErr w:type="spellStart"/>
            <w:r>
              <w:t>NaSaPO</w:t>
            </w:r>
            <w:proofErr w:type="spellEnd"/>
          </w:p>
        </w:tc>
      </w:tr>
      <w:tr w:rsidR="00B87718" w:rsidRPr="007C121F" w14:paraId="0349204F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5CD9C638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Cílové skupiny</w:t>
            </w:r>
          </w:p>
        </w:tc>
        <w:tc>
          <w:tcPr>
            <w:tcW w:w="7479" w:type="dxa"/>
          </w:tcPr>
          <w:p w14:paraId="29963A59" w14:textId="5F8341E4" w:rsidR="00B87718" w:rsidRPr="0076084D" w:rsidRDefault="00D86896" w:rsidP="00D86896">
            <w:r>
              <w:t>Investor, o</w:t>
            </w:r>
            <w:r w:rsidR="003E7DA6">
              <w:t xml:space="preserve">bčan, </w:t>
            </w:r>
            <w:r w:rsidR="00534187">
              <w:t>v</w:t>
            </w:r>
            <w:r w:rsidR="003E7DA6">
              <w:t xml:space="preserve">eřejná správa (zejm. stavební úřady), </w:t>
            </w:r>
            <w:r w:rsidR="00534187">
              <w:t>k</w:t>
            </w:r>
            <w:r w:rsidR="003E7DA6">
              <w:t>omerční sféra</w:t>
            </w:r>
            <w:r>
              <w:t>.</w:t>
            </w:r>
          </w:p>
        </w:tc>
      </w:tr>
      <w:tr w:rsidR="00B87718" w:rsidRPr="007C121F" w14:paraId="56DF2CB1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27691E1D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Charakter služby</w:t>
            </w:r>
          </w:p>
        </w:tc>
        <w:tc>
          <w:tcPr>
            <w:tcW w:w="7479" w:type="dxa"/>
          </w:tcPr>
          <w:p w14:paraId="69D461CF" w14:textId="445C17EE" w:rsidR="0076084D" w:rsidRDefault="003E7DA6" w:rsidP="00EB757B">
            <w:bookmarkStart w:id="0" w:name="_GoBack"/>
            <w:bookmarkEnd w:id="0"/>
            <w:r>
              <w:t>Veřejná služba</w:t>
            </w:r>
          </w:p>
          <w:p w14:paraId="187B26FB" w14:textId="77777777" w:rsidR="00B87718" w:rsidRDefault="00B87718" w:rsidP="00EB757B">
            <w:pPr>
              <w:pStyle w:val="Odsazeno"/>
            </w:pPr>
          </w:p>
          <w:p w14:paraId="4793240E" w14:textId="77777777" w:rsidR="00B87718" w:rsidRDefault="00B87718" w:rsidP="00EB757B">
            <w:pPr>
              <w:pStyle w:val="Odsazeno"/>
            </w:pPr>
          </w:p>
          <w:p w14:paraId="72DB01C1" w14:textId="77777777" w:rsidR="00B87718" w:rsidRPr="007C121F" w:rsidRDefault="00B87718" w:rsidP="00EB757B">
            <w:pPr>
              <w:pStyle w:val="Odsazeno"/>
            </w:pPr>
          </w:p>
        </w:tc>
      </w:tr>
      <w:tr w:rsidR="00B87718" w:rsidRPr="007C121F" w14:paraId="35FAAE9E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4AC26B93" w14:textId="571FCA2A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Přínos služby</w:t>
            </w:r>
          </w:p>
        </w:tc>
        <w:tc>
          <w:tcPr>
            <w:tcW w:w="7479" w:type="dxa"/>
          </w:tcPr>
          <w:p w14:paraId="3F725630" w14:textId="761FAAF5" w:rsidR="00C1189D" w:rsidRDefault="00C1189D" w:rsidP="00C1189D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>Snížení nákladů na pořizování projektových dokumentací staveb</w:t>
            </w:r>
            <w:r w:rsidR="00387630">
              <w:t xml:space="preserve"> (</w:t>
            </w:r>
            <w:r w:rsidR="004830BC">
              <w:t xml:space="preserve">garantované </w:t>
            </w:r>
            <w:r w:rsidR="00387630">
              <w:t>podklady jsou poskytován</w:t>
            </w:r>
            <w:r w:rsidR="004830BC">
              <w:t>y</w:t>
            </w:r>
            <w:r w:rsidR="00387630">
              <w:t xml:space="preserve"> službou </w:t>
            </w:r>
            <w:proofErr w:type="spellStart"/>
            <w:r w:rsidR="00387630">
              <w:t>NaSaPO</w:t>
            </w:r>
            <w:proofErr w:type="spellEnd"/>
            <w:r w:rsidR="00387630">
              <w:t>)</w:t>
            </w:r>
          </w:p>
          <w:p w14:paraId="15C78904" w14:textId="1624CC07" w:rsidR="00B87718" w:rsidRDefault="004830BC" w:rsidP="00C1189D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lastRenderedPageBreak/>
              <w:t xml:space="preserve">Zvýšení kvality </w:t>
            </w:r>
            <w:r w:rsidR="00C1189D" w:rsidRPr="00C1189D">
              <w:t>projektov</w:t>
            </w:r>
            <w:r>
              <w:t xml:space="preserve">ých </w:t>
            </w:r>
            <w:r w:rsidR="00C1189D" w:rsidRPr="00C1189D">
              <w:t>dokumentac</w:t>
            </w:r>
            <w:r>
              <w:t xml:space="preserve">í, které jsou </w:t>
            </w:r>
            <w:r w:rsidR="00C1189D" w:rsidRPr="00C1189D">
              <w:t>vytvářen</w:t>
            </w:r>
            <w:r>
              <w:t>y</w:t>
            </w:r>
            <w:r w:rsidR="00C1189D" w:rsidRPr="00C1189D">
              <w:t xml:space="preserve"> na základě garantovaných a přesných geodat zobr</w:t>
            </w:r>
            <w:r w:rsidR="00C1189D">
              <w:t>azujících skutečný stav v území</w:t>
            </w:r>
          </w:p>
          <w:p w14:paraId="71F78E09" w14:textId="64436D85" w:rsidR="003505D8" w:rsidRDefault="00FD4ACE" w:rsidP="003505D8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 xml:space="preserve">Veřejně dostupné podklady </w:t>
            </w:r>
            <w:r w:rsidR="003505D8">
              <w:t xml:space="preserve">pro investory a díky tomu podpora </w:t>
            </w:r>
            <w:r w:rsidR="003505D8">
              <w:t>investiční výstavb</w:t>
            </w:r>
            <w:r w:rsidR="003505D8">
              <w:t>y</w:t>
            </w:r>
          </w:p>
          <w:p w14:paraId="31ED9E05" w14:textId="3BDBD002" w:rsidR="00C1189D" w:rsidRDefault="00C1189D" w:rsidP="00C1189D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 w:rsidRPr="00C1189D">
              <w:t xml:space="preserve">Jednotná forma zpracování geodetických částí dokumentací skutečného provedení staveb v ČR a snížení nákladů na jejich pořizování (eliminace duplicitních měření již evidovaných objektů v </w:t>
            </w:r>
            <w:proofErr w:type="spellStart"/>
            <w:r w:rsidRPr="00C1189D">
              <w:t>NaSaPO</w:t>
            </w:r>
            <w:proofErr w:type="spellEnd"/>
            <w:r w:rsidRPr="00C1189D">
              <w:t>)</w:t>
            </w:r>
          </w:p>
          <w:p w14:paraId="71D402F1" w14:textId="35663854" w:rsidR="000349BB" w:rsidRDefault="000349BB" w:rsidP="000349BB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>Kvalitní</w:t>
            </w:r>
            <w:r w:rsidR="006F383E">
              <w:t xml:space="preserve"> a garantované </w:t>
            </w:r>
            <w:r>
              <w:t>podklady pro rozhodovací činnosti (rozhodování nad garantovanými podklady skutečného stavu v území s nejvyšší mírou detailu).</w:t>
            </w:r>
          </w:p>
          <w:p w14:paraId="6EA5A596" w14:textId="7CC1DC3D" w:rsidR="00C1189D" w:rsidRDefault="000349BB" w:rsidP="000349BB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 xml:space="preserve">Snížení časové a finanční náročnosti při </w:t>
            </w:r>
            <w:r w:rsidR="00DE2B68">
              <w:t xml:space="preserve">přípravě </w:t>
            </w:r>
            <w:r w:rsidR="00DE2B68" w:rsidRPr="00B94F46">
              <w:t>situačních výkresů</w:t>
            </w:r>
            <w:r w:rsidR="006F383E">
              <w:t>,</w:t>
            </w:r>
            <w:r w:rsidR="00DE2B68" w:rsidRPr="00B94F46">
              <w:t xml:space="preserve"> schémat</w:t>
            </w:r>
            <w:r w:rsidR="006F383E">
              <w:t>, studií a analýz souvisejících s výstavbou</w:t>
            </w:r>
            <w:r w:rsidR="00DE2B68">
              <w:t xml:space="preserve"> (podklady jsou poskytována službou </w:t>
            </w:r>
            <w:proofErr w:type="spellStart"/>
            <w:r w:rsidR="00DE2B68">
              <w:t>NaSaPO</w:t>
            </w:r>
            <w:proofErr w:type="spellEnd"/>
            <w:r w:rsidR="00DE2B68">
              <w:t>)</w:t>
            </w:r>
          </w:p>
          <w:p w14:paraId="1FA5C81C" w14:textId="2EF45675" w:rsidR="00DE2B68" w:rsidRPr="007C121F" w:rsidRDefault="00DE2B68" w:rsidP="006F383E">
            <w:pPr>
              <w:spacing w:before="120"/>
            </w:pPr>
          </w:p>
        </w:tc>
      </w:tr>
      <w:tr w:rsidR="00B87718" w14:paraId="55B78922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D09B212" w14:textId="77777777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Lze kvantifikovat přínos služby</w:t>
            </w:r>
          </w:p>
        </w:tc>
        <w:tc>
          <w:tcPr>
            <w:tcW w:w="7479" w:type="dxa"/>
          </w:tcPr>
          <w:p w14:paraId="2801521A" w14:textId="69F53B4A" w:rsidR="00B87718" w:rsidRDefault="00387630" w:rsidP="00EB757B">
            <w:pPr>
              <w:autoSpaceDE w:val="0"/>
              <w:autoSpaceDN w:val="0"/>
              <w:adjustRightInd w:val="0"/>
            </w:pPr>
            <w:r>
              <w:t>(… bude doplněno)</w:t>
            </w:r>
          </w:p>
        </w:tc>
      </w:tr>
      <w:tr w:rsidR="00B87718" w:rsidRPr="007C121F" w14:paraId="27EA48B3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7D14C772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potřebná pro poskytnutí služby</w:t>
            </w:r>
          </w:p>
        </w:tc>
        <w:tc>
          <w:tcPr>
            <w:tcW w:w="7479" w:type="dxa"/>
          </w:tcPr>
          <w:p w14:paraId="21346869" w14:textId="1132DC5E" w:rsidR="00B87718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proofErr w:type="spellStart"/>
            <w:r>
              <w:t>NaSaPO</w:t>
            </w:r>
            <w:proofErr w:type="spellEnd"/>
          </w:p>
          <w:p w14:paraId="729651B1" w14:textId="1E038D9F" w:rsidR="0076084D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Adresní body</w:t>
            </w:r>
          </w:p>
          <w:p w14:paraId="42C6CF97" w14:textId="63205FAB" w:rsidR="00DE67B4" w:rsidRDefault="00DE67B4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Ortofotomapa (referenční vrstva)</w:t>
            </w:r>
          </w:p>
          <w:p w14:paraId="095CD97E" w14:textId="744DB8B2" w:rsidR="00387630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Katastrální mapa (pro majetkoprávní vztahy)</w:t>
            </w:r>
          </w:p>
          <w:p w14:paraId="36605003" w14:textId="64B37C06" w:rsidR="000560CA" w:rsidRPr="007C121F" w:rsidRDefault="000560CA" w:rsidP="00387630">
            <w:pPr>
              <w:autoSpaceDE w:val="0"/>
              <w:autoSpaceDN w:val="0"/>
              <w:adjustRightInd w:val="0"/>
            </w:pPr>
          </w:p>
        </w:tc>
      </w:tr>
      <w:tr w:rsidR="00B87718" w:rsidRPr="00BC19D7" w14:paraId="1CFDB1A8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1F3CB0D" w14:textId="77777777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Přístup k datům (sdílené služby)</w:t>
            </w:r>
          </w:p>
        </w:tc>
        <w:tc>
          <w:tcPr>
            <w:tcW w:w="7479" w:type="dxa"/>
          </w:tcPr>
          <w:p w14:paraId="60C18B43" w14:textId="77777777" w:rsidR="00B87718" w:rsidRDefault="00B87718" w:rsidP="00EB757B">
            <w:pPr>
              <w:autoSpaceDE w:val="0"/>
              <w:autoSpaceDN w:val="0"/>
              <w:adjustRightInd w:val="0"/>
            </w:pPr>
            <w:r>
              <w:rPr>
                <w:b/>
              </w:rPr>
              <w:t>Jakým způsobem by měla být data zpřístupněna:</w:t>
            </w:r>
          </w:p>
          <w:p w14:paraId="597B129B" w14:textId="79778D3D" w:rsidR="00387630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Stahovaní podkladových dat (vektorových)</w:t>
            </w:r>
          </w:p>
          <w:p w14:paraId="6FAAF9D6" w14:textId="77777777" w:rsidR="000560CA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Webové služby (WMS, WFS …)</w:t>
            </w:r>
          </w:p>
          <w:p w14:paraId="297C34AE" w14:textId="03BC7396" w:rsidR="00387630" w:rsidRPr="00BC19D7" w:rsidRDefault="00387630" w:rsidP="00387630">
            <w:pPr>
              <w:autoSpaceDE w:val="0"/>
              <w:autoSpaceDN w:val="0"/>
              <w:adjustRightInd w:val="0"/>
              <w:ind w:left="360"/>
            </w:pPr>
          </w:p>
        </w:tc>
      </w:tr>
      <w:tr w:rsidR="00B87718" w:rsidRPr="00BC19D7" w14:paraId="364433E5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4B954795" w14:textId="6185A0D8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Metadata a katalogizace</w:t>
            </w:r>
          </w:p>
        </w:tc>
        <w:tc>
          <w:tcPr>
            <w:tcW w:w="7479" w:type="dxa"/>
          </w:tcPr>
          <w:p w14:paraId="38E7F8E5" w14:textId="7FF0839C" w:rsidR="00B87718" w:rsidRPr="00BC19D7" w:rsidRDefault="00387630" w:rsidP="00387630">
            <w:pPr>
              <w:autoSpaceDE w:val="0"/>
              <w:autoSpaceDN w:val="0"/>
              <w:adjustRightInd w:val="0"/>
            </w:pPr>
            <w:r>
              <w:t>(… bude doplněno)</w:t>
            </w:r>
          </w:p>
        </w:tc>
      </w:tr>
      <w:tr w:rsidR="00B87718" w14:paraId="3F4181DF" w14:textId="77777777" w:rsidTr="00EB757B">
        <w:tc>
          <w:tcPr>
            <w:tcW w:w="1771" w:type="dxa"/>
          </w:tcPr>
          <w:p w14:paraId="7187B5B3" w14:textId="77777777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Případné právní úpravy</w:t>
            </w:r>
          </w:p>
        </w:tc>
        <w:tc>
          <w:tcPr>
            <w:tcW w:w="7479" w:type="dxa"/>
          </w:tcPr>
          <w:p w14:paraId="7E52883D" w14:textId="71A412AA" w:rsidR="00B87718" w:rsidRDefault="00387630" w:rsidP="00387630">
            <w:pPr>
              <w:autoSpaceDE w:val="0"/>
              <w:autoSpaceDN w:val="0"/>
              <w:adjustRightInd w:val="0"/>
            </w:pPr>
            <w:r>
              <w:t>Vyžaduje legislativní změny</w:t>
            </w:r>
          </w:p>
        </w:tc>
      </w:tr>
    </w:tbl>
    <w:p w14:paraId="4F202FA3" w14:textId="77777777" w:rsidR="002704D1" w:rsidRDefault="002704D1"/>
    <w:sectPr w:rsidR="0027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49799" w15:done="0"/>
  <w15:commentEx w15:paraId="64A86D38" w15:done="0"/>
  <w15:commentEx w15:paraId="2C72F6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D8"/>
    <w:multiLevelType w:val="hybridMultilevel"/>
    <w:tmpl w:val="B390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D71D1"/>
    <w:multiLevelType w:val="hybridMultilevel"/>
    <w:tmpl w:val="7242DE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AD6919"/>
    <w:multiLevelType w:val="hybridMultilevel"/>
    <w:tmpl w:val="D3CA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8740C"/>
    <w:multiLevelType w:val="hybridMultilevel"/>
    <w:tmpl w:val="7ABC07BE"/>
    <w:lvl w:ilvl="0" w:tplc="232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40741"/>
    <w:multiLevelType w:val="hybridMultilevel"/>
    <w:tmpl w:val="E4505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D05E9"/>
    <w:multiLevelType w:val="hybridMultilevel"/>
    <w:tmpl w:val="FD485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Charvát">
    <w15:presenceInfo w15:providerId="Windows Live" w15:userId="15ccd86acbbf5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8"/>
    <w:rsid w:val="000349BB"/>
    <w:rsid w:val="000560CA"/>
    <w:rsid w:val="00236946"/>
    <w:rsid w:val="00256B79"/>
    <w:rsid w:val="002704D1"/>
    <w:rsid w:val="00291F41"/>
    <w:rsid w:val="00292057"/>
    <w:rsid w:val="002958CB"/>
    <w:rsid w:val="002A717E"/>
    <w:rsid w:val="00302DF8"/>
    <w:rsid w:val="003505D8"/>
    <w:rsid w:val="00381D5C"/>
    <w:rsid w:val="003832C3"/>
    <w:rsid w:val="00387630"/>
    <w:rsid w:val="00397679"/>
    <w:rsid w:val="003E7DA6"/>
    <w:rsid w:val="00421107"/>
    <w:rsid w:val="00457422"/>
    <w:rsid w:val="004830BC"/>
    <w:rsid w:val="004B049A"/>
    <w:rsid w:val="004D41E3"/>
    <w:rsid w:val="004D7D1D"/>
    <w:rsid w:val="00505D86"/>
    <w:rsid w:val="00534187"/>
    <w:rsid w:val="0058075F"/>
    <w:rsid w:val="005942A8"/>
    <w:rsid w:val="0061384C"/>
    <w:rsid w:val="00652997"/>
    <w:rsid w:val="006B0830"/>
    <w:rsid w:val="006B6CAE"/>
    <w:rsid w:val="006F383E"/>
    <w:rsid w:val="006F7B83"/>
    <w:rsid w:val="006F7D54"/>
    <w:rsid w:val="00740394"/>
    <w:rsid w:val="0076084D"/>
    <w:rsid w:val="00851577"/>
    <w:rsid w:val="00872295"/>
    <w:rsid w:val="009B3C35"/>
    <w:rsid w:val="009D1CA6"/>
    <w:rsid w:val="00A96243"/>
    <w:rsid w:val="00B04F67"/>
    <w:rsid w:val="00B436C5"/>
    <w:rsid w:val="00B87718"/>
    <w:rsid w:val="00B94F46"/>
    <w:rsid w:val="00C10D55"/>
    <w:rsid w:val="00C1189D"/>
    <w:rsid w:val="00C31E80"/>
    <w:rsid w:val="00C47B29"/>
    <w:rsid w:val="00C63F61"/>
    <w:rsid w:val="00C94746"/>
    <w:rsid w:val="00D476BC"/>
    <w:rsid w:val="00D86896"/>
    <w:rsid w:val="00DC0FEE"/>
    <w:rsid w:val="00DE2B68"/>
    <w:rsid w:val="00DE67B4"/>
    <w:rsid w:val="00DF665C"/>
    <w:rsid w:val="00E9432C"/>
    <w:rsid w:val="00E94883"/>
    <w:rsid w:val="00EB5C85"/>
    <w:rsid w:val="00F23B4C"/>
    <w:rsid w:val="00F47C01"/>
    <w:rsid w:val="00F678DC"/>
    <w:rsid w:val="00FC720B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718"/>
    <w:pPr>
      <w:ind w:left="720"/>
    </w:pPr>
  </w:style>
  <w:style w:type="paragraph" w:customStyle="1" w:styleId="Odsazeno">
    <w:name w:val="Odsazeno"/>
    <w:basedOn w:val="Normln"/>
    <w:autoRedefine/>
    <w:rsid w:val="00B87718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87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71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18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1E3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718"/>
    <w:pPr>
      <w:ind w:left="720"/>
    </w:pPr>
  </w:style>
  <w:style w:type="paragraph" w:customStyle="1" w:styleId="Odsazeno">
    <w:name w:val="Odsazeno"/>
    <w:basedOn w:val="Normln"/>
    <w:autoRedefine/>
    <w:rsid w:val="00B87718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87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71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18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1E3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Charvát</dc:creator>
  <cp:keywords/>
  <dc:description/>
  <cp:lastModifiedBy>Karel Vondráček</cp:lastModifiedBy>
  <cp:revision>60</cp:revision>
  <dcterms:created xsi:type="dcterms:W3CDTF">2014-02-09T18:59:00Z</dcterms:created>
  <dcterms:modified xsi:type="dcterms:W3CDTF">2014-02-11T12:42:00Z</dcterms:modified>
</cp:coreProperties>
</file>